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0" w:rsidRDefault="008D0D40" w:rsidP="008D0D40">
      <w:pPr>
        <w:spacing w:before="107"/>
        <w:ind w:left="1316"/>
        <w:rPr>
          <w:rFonts w:asciiTheme="minorHAnsi" w:hAnsiTheme="minorHAnsi" w:cstheme="minorHAnsi"/>
          <w:b/>
          <w:color w:val="231F20"/>
          <w:sz w:val="18"/>
        </w:rPr>
      </w:pPr>
    </w:p>
    <w:p w:rsidR="008D0D40" w:rsidRDefault="008D0D40" w:rsidP="008D0D40">
      <w:pPr>
        <w:spacing w:before="107"/>
        <w:ind w:left="1316"/>
        <w:rPr>
          <w:rFonts w:asciiTheme="minorHAnsi" w:hAnsiTheme="minorHAnsi" w:cstheme="minorHAnsi"/>
          <w:b/>
          <w:color w:val="231F20"/>
          <w:sz w:val="18"/>
        </w:rPr>
      </w:pPr>
    </w:p>
    <w:p w:rsidR="008D0D40" w:rsidRDefault="008D0D40" w:rsidP="008D0D40">
      <w:pPr>
        <w:spacing w:before="107"/>
        <w:ind w:left="1316"/>
        <w:rPr>
          <w:rFonts w:asciiTheme="minorHAnsi" w:hAnsiTheme="minorHAnsi" w:cstheme="minorHAnsi"/>
          <w:b/>
          <w:color w:val="231F20"/>
          <w:sz w:val="18"/>
        </w:rPr>
      </w:pPr>
    </w:p>
    <w:p w:rsidR="003D3786" w:rsidRPr="003D3786" w:rsidRDefault="000E45E6" w:rsidP="003D3786">
      <w:pPr>
        <w:spacing w:before="107"/>
        <w:ind w:left="1316"/>
        <w:jc w:val="center"/>
        <w:rPr>
          <w:rFonts w:asciiTheme="minorHAnsi" w:hAnsiTheme="minorHAnsi" w:cstheme="minorHAnsi"/>
          <w:b/>
          <w:color w:val="231F20"/>
          <w:sz w:val="32"/>
          <w:szCs w:val="32"/>
        </w:rPr>
      </w:pPr>
      <w:r>
        <w:rPr>
          <w:rFonts w:asciiTheme="minorHAnsi" w:hAnsiTheme="minorHAnsi" w:cstheme="minorHAnsi"/>
          <w:b/>
          <w:color w:val="231F20"/>
          <w:sz w:val="32"/>
          <w:szCs w:val="32"/>
          <w:lang w:val="en-US"/>
        </w:rPr>
        <w:t>Komuna e Gostivarit</w:t>
      </w:r>
      <w:r w:rsidR="003D3786" w:rsidRPr="003D3786">
        <w:rPr>
          <w:rFonts w:asciiTheme="minorHAnsi" w:hAnsiTheme="minorHAnsi" w:cstheme="minorHAnsi"/>
          <w:b/>
          <w:color w:val="231F20"/>
          <w:sz w:val="32"/>
          <w:szCs w:val="32"/>
        </w:rPr>
        <w:t xml:space="preserve"> </w:t>
      </w:r>
    </w:p>
    <w:p w:rsidR="008D0D40" w:rsidRPr="003D3786" w:rsidRDefault="000E45E6" w:rsidP="003D3786">
      <w:pPr>
        <w:spacing w:before="107"/>
        <w:ind w:left="131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231F20"/>
          <w:sz w:val="28"/>
          <w:szCs w:val="28"/>
          <w:lang w:val="sq-AL"/>
        </w:rPr>
        <w:t xml:space="preserve">Rang lista e projekteve të organizatave të shoqërisë civile të fituara në thirrjen publike në kuadër të projektit </w:t>
      </w:r>
      <w:r w:rsidR="003D3786">
        <w:rPr>
          <w:rFonts w:asciiTheme="minorHAnsi" w:hAnsiTheme="minorHAnsi" w:cstheme="minorHAnsi"/>
          <w:b/>
          <w:color w:val="231F20"/>
          <w:sz w:val="28"/>
          <w:szCs w:val="28"/>
          <w:lang w:val="en-US"/>
        </w:rPr>
        <w:t xml:space="preserve">ReLOaD </w:t>
      </w:r>
      <w:r>
        <w:rPr>
          <w:rFonts w:asciiTheme="minorHAnsi" w:hAnsiTheme="minorHAnsi" w:cstheme="minorHAnsi"/>
          <w:b/>
          <w:color w:val="231F20"/>
          <w:sz w:val="28"/>
          <w:szCs w:val="28"/>
          <w:lang w:val="en-US"/>
        </w:rPr>
        <w:t xml:space="preserve">të hapur prej </w:t>
      </w:r>
      <w:r>
        <w:rPr>
          <w:rFonts w:asciiTheme="minorHAnsi" w:hAnsiTheme="minorHAnsi" w:cstheme="minorHAnsi"/>
          <w:b/>
          <w:color w:val="231F20"/>
          <w:sz w:val="28"/>
          <w:szCs w:val="28"/>
        </w:rPr>
        <w:t xml:space="preserve">24.10.2018 </w:t>
      </w:r>
      <w:r>
        <w:rPr>
          <w:rFonts w:asciiTheme="minorHAnsi" w:hAnsiTheme="minorHAnsi" w:cstheme="minorHAnsi"/>
          <w:b/>
          <w:color w:val="231F20"/>
          <w:sz w:val="28"/>
          <w:szCs w:val="28"/>
          <w:lang w:val="sq-AL"/>
        </w:rPr>
        <w:t>deri më</w:t>
      </w:r>
      <w:r w:rsidR="004942F6" w:rsidRPr="004942F6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 05.12.2018</w:t>
      </w:r>
    </w:p>
    <w:p w:rsidR="008D0D40" w:rsidRDefault="008D0D40" w:rsidP="008D0D40">
      <w:pPr>
        <w:pStyle w:val="BodyText"/>
        <w:spacing w:before="7" w:after="1"/>
        <w:rPr>
          <w:rFonts w:asciiTheme="minorHAnsi" w:hAnsiTheme="minorHAnsi" w:cstheme="minorHAnsi"/>
          <w:b/>
        </w:rPr>
      </w:pPr>
    </w:p>
    <w:p w:rsidR="00B32646" w:rsidRPr="005072E2" w:rsidRDefault="00B32646" w:rsidP="008D0D40">
      <w:pPr>
        <w:pStyle w:val="BodyText"/>
        <w:spacing w:before="7" w:after="1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tblpXSpec="center" w:tblpY="1"/>
        <w:tblOverlap w:val="never"/>
        <w:tblW w:w="13050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2685"/>
        <w:gridCol w:w="3780"/>
        <w:gridCol w:w="900"/>
        <w:gridCol w:w="5055"/>
      </w:tblGrid>
      <w:tr w:rsidR="00756D6C" w:rsidRPr="00B60D48" w:rsidTr="000A2F15">
        <w:trPr>
          <w:trHeight w:val="523"/>
          <w:jc w:val="center"/>
        </w:trPr>
        <w:tc>
          <w:tcPr>
            <w:tcW w:w="1305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6D6C" w:rsidRPr="003D3786" w:rsidRDefault="000E45E6" w:rsidP="000E45E6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q-AL"/>
              </w:rPr>
              <w:t>PROJEKTET TË CILAT JANË MIRATUAR PËR FINANCIM</w:t>
            </w:r>
          </w:p>
        </w:tc>
      </w:tr>
      <w:tr w:rsidR="00503C1D" w:rsidRPr="00B60D48" w:rsidTr="00A11828">
        <w:trPr>
          <w:trHeight w:val="325"/>
          <w:jc w:val="center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0D40" w:rsidRPr="000E45E6" w:rsidRDefault="000E45E6" w:rsidP="000A2F15">
            <w:pPr>
              <w:pStyle w:val="BodyText"/>
              <w:jc w:val="center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Nr.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0D40" w:rsidRPr="000E45E6" w:rsidRDefault="008D0D40" w:rsidP="000A2F15">
            <w:pPr>
              <w:pStyle w:val="BodyText"/>
              <w:jc w:val="center"/>
              <w:rPr>
                <w:b/>
                <w:sz w:val="24"/>
                <w:szCs w:val="24"/>
                <w:lang w:val="sq-AL"/>
              </w:rPr>
            </w:pPr>
            <w:r w:rsidRPr="00503C1D">
              <w:rPr>
                <w:b/>
                <w:sz w:val="24"/>
                <w:szCs w:val="24"/>
              </w:rPr>
              <w:t>О</w:t>
            </w:r>
            <w:r w:rsidR="000E45E6">
              <w:rPr>
                <w:b/>
                <w:sz w:val="24"/>
                <w:szCs w:val="24"/>
                <w:lang w:val="sq-AL"/>
              </w:rPr>
              <w:t>rganizata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0D40" w:rsidRPr="000E45E6" w:rsidRDefault="000E45E6" w:rsidP="000A2F15">
            <w:pPr>
              <w:pStyle w:val="BodyText"/>
              <w:jc w:val="center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Projekti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D0D40" w:rsidRPr="000E45E6" w:rsidRDefault="000E45E6" w:rsidP="000A2F15">
            <w:pPr>
              <w:pStyle w:val="BodyText"/>
              <w:jc w:val="center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Pikët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0D40" w:rsidRPr="000E45E6" w:rsidRDefault="000E45E6" w:rsidP="000A2F15">
            <w:pPr>
              <w:pStyle w:val="BodyText"/>
              <w:jc w:val="center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VËREJTJE</w:t>
            </w:r>
          </w:p>
        </w:tc>
      </w:tr>
      <w:tr w:rsidR="00A11828" w:rsidRPr="00B60D48" w:rsidTr="00A11828">
        <w:trPr>
          <w:trHeight w:val="325"/>
          <w:jc w:val="center"/>
        </w:trPr>
        <w:tc>
          <w:tcPr>
            <w:tcW w:w="1305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1828" w:rsidRPr="000E45E6" w:rsidRDefault="000E45E6" w:rsidP="00A11828">
            <w:pPr>
              <w:pStyle w:val="BodyText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Projekte me buxhet</w:t>
            </w:r>
            <w:r w:rsidR="00A11828" w:rsidRPr="00210567">
              <w:rPr>
                <w:b/>
                <w:sz w:val="24"/>
                <w:szCs w:val="24"/>
              </w:rPr>
              <w:t xml:space="preserve"> 307.000,00 – 615.000,00 М</w:t>
            </w:r>
            <w:r>
              <w:rPr>
                <w:b/>
                <w:sz w:val="24"/>
                <w:szCs w:val="24"/>
                <w:lang w:val="sq-AL"/>
              </w:rPr>
              <w:t>KD</w:t>
            </w:r>
          </w:p>
        </w:tc>
      </w:tr>
      <w:tr w:rsidR="004942F6" w:rsidRPr="00B60D48" w:rsidTr="00A11828">
        <w:trPr>
          <w:trHeight w:val="799"/>
          <w:jc w:val="center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942F6" w:rsidRPr="00756D6C" w:rsidRDefault="004942F6" w:rsidP="004942F6">
            <w:pPr>
              <w:pStyle w:val="BodyText"/>
              <w:jc w:val="center"/>
              <w:rPr>
                <w:sz w:val="22"/>
                <w:szCs w:val="22"/>
              </w:rPr>
            </w:pPr>
            <w:r w:rsidRPr="00CF2FCF">
              <w:t>1.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942F6" w:rsidRPr="000E45E6" w:rsidRDefault="000E45E6" w:rsidP="000E45E6">
            <w:pPr>
              <w:pStyle w:val="BodyText"/>
              <w:jc w:val="both"/>
              <w:rPr>
                <w:sz w:val="22"/>
                <w:szCs w:val="22"/>
                <w:lang w:val="sq-AL"/>
              </w:rPr>
            </w:pPr>
            <w:r>
              <w:rPr>
                <w:lang w:val="sq-AL"/>
              </w:rPr>
              <w:t xml:space="preserve">Iniciativa </w:t>
            </w:r>
            <w:r w:rsidR="004942F6" w:rsidRPr="00CF2FCF">
              <w:t xml:space="preserve"> </w:t>
            </w:r>
            <w:r>
              <w:rPr>
                <w:lang w:val="sq-AL"/>
              </w:rPr>
              <w:t>për Integrime Qytetare</w:t>
            </w:r>
            <w:r w:rsidR="004942F6" w:rsidRPr="00CF2FCF">
              <w:t xml:space="preserve"> - </w:t>
            </w:r>
            <w:r>
              <w:rPr>
                <w:lang w:val="sq-AL"/>
              </w:rPr>
              <w:t>IGI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942F6" w:rsidRPr="003D3786" w:rsidRDefault="004942F6" w:rsidP="004942F6">
            <w:pPr>
              <w:pStyle w:val="BodyText"/>
              <w:jc w:val="both"/>
              <w:rPr>
                <w:sz w:val="22"/>
                <w:szCs w:val="22"/>
              </w:rPr>
            </w:pPr>
            <w:r w:rsidRPr="00CF2FCF">
              <w:t>Биди и ти еко активист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2F6" w:rsidRPr="004942F6" w:rsidRDefault="004942F6" w:rsidP="004942F6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3D378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5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2F6" w:rsidRPr="00403B1E" w:rsidRDefault="000E45E6" w:rsidP="000E45E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Buxheti do të duhet të pësojë ndryshime ngaqë janë identifikuar kategori të shpenzimeve që janë tepër të larta dhe do të duhet të zvogëlohen</w:t>
            </w:r>
            <w:r w:rsidR="004942F6" w:rsidRPr="00403B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11828" w:rsidRPr="00B60D48" w:rsidTr="00A11828">
        <w:trPr>
          <w:trHeight w:val="358"/>
          <w:jc w:val="center"/>
        </w:trPr>
        <w:tc>
          <w:tcPr>
            <w:tcW w:w="1305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1828" w:rsidRPr="000E45E6" w:rsidRDefault="000E45E6" w:rsidP="00A11828">
            <w:pPr>
              <w:pStyle w:val="BodyText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Projekte me buxhet</w:t>
            </w:r>
            <w:r w:rsidRPr="00210567">
              <w:rPr>
                <w:b/>
                <w:sz w:val="24"/>
                <w:szCs w:val="24"/>
              </w:rPr>
              <w:t xml:space="preserve"> </w:t>
            </w:r>
            <w:r w:rsidR="00A11828">
              <w:rPr>
                <w:b/>
                <w:sz w:val="24"/>
                <w:szCs w:val="24"/>
              </w:rPr>
              <w:t>615.000,00 – 1.845</w:t>
            </w:r>
            <w:r w:rsidR="00A11828" w:rsidRPr="00210567">
              <w:rPr>
                <w:b/>
                <w:sz w:val="24"/>
                <w:szCs w:val="24"/>
              </w:rPr>
              <w:t>.000,00 М</w:t>
            </w:r>
            <w:r>
              <w:rPr>
                <w:b/>
                <w:sz w:val="24"/>
                <w:szCs w:val="24"/>
                <w:lang w:val="sq-AL"/>
              </w:rPr>
              <w:t>KD</w:t>
            </w:r>
          </w:p>
        </w:tc>
      </w:tr>
      <w:tr w:rsidR="004942F6" w:rsidRPr="00B60D48" w:rsidTr="00A11828">
        <w:trPr>
          <w:trHeight w:val="781"/>
          <w:jc w:val="center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942F6" w:rsidRPr="004942F6" w:rsidRDefault="004942F6" w:rsidP="004942F6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942F6" w:rsidRPr="00CF2FCF" w:rsidRDefault="006F72A7" w:rsidP="006F72A7">
            <w:pPr>
              <w:pStyle w:val="BodyText"/>
              <w:jc w:val="both"/>
            </w:pPr>
            <w:r>
              <w:rPr>
                <w:lang w:val="sq-AL"/>
              </w:rPr>
              <w:t>ShHBR Meseçina</w:t>
            </w:r>
            <w:r w:rsidR="004942F6" w:rsidRPr="004942F6">
              <w:t xml:space="preserve"> 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942F6" w:rsidRPr="00CF2FCF" w:rsidRDefault="006F72A7" w:rsidP="006F72A7">
            <w:pPr>
              <w:pStyle w:val="BodyText"/>
              <w:jc w:val="both"/>
            </w:pPr>
            <w:r>
              <w:rPr>
                <w:lang w:val="sq-AL"/>
              </w:rPr>
              <w:t>Përmirësimi i përfshirjes së Romëve në tregun e punës me theks tek gruaja rome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2F6" w:rsidRPr="004942F6" w:rsidRDefault="004942F6" w:rsidP="004942F6">
            <w:pPr>
              <w:pStyle w:val="BodyText"/>
              <w:jc w:val="center"/>
              <w:rPr>
                <w:sz w:val="22"/>
                <w:szCs w:val="22"/>
              </w:rPr>
            </w:pPr>
            <w:r w:rsidRPr="004942F6">
              <w:rPr>
                <w:sz w:val="22"/>
                <w:szCs w:val="22"/>
              </w:rPr>
              <w:t>85</w:t>
            </w:r>
          </w:p>
          <w:p w:rsidR="004942F6" w:rsidRPr="003D3786" w:rsidRDefault="004942F6" w:rsidP="004942F6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2F6" w:rsidRPr="00403B1E" w:rsidRDefault="000E45E6" w:rsidP="00403B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Buxheti do të duhet të pësojë ndryshime ngaqë janë identifikuar kategori të shpenzimeve që janë tepër të larta dhe do të duhet të zvogëlohen</w:t>
            </w:r>
            <w:r w:rsidRPr="00403B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942F6" w:rsidRPr="00B60D48" w:rsidTr="00A11828">
        <w:trPr>
          <w:trHeight w:val="790"/>
          <w:jc w:val="center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42F6" w:rsidRPr="004942F6" w:rsidRDefault="004942F6" w:rsidP="004942F6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6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942F6" w:rsidRPr="00CF2FCF" w:rsidRDefault="004942F6" w:rsidP="004942F6">
            <w:pPr>
              <w:pStyle w:val="BodyText"/>
            </w:pPr>
            <w:r w:rsidRPr="004942F6">
              <w:t>Сноулине Гостивар</w:t>
            </w:r>
            <w:r w:rsidRPr="004942F6">
              <w:tab/>
            </w:r>
          </w:p>
        </w:tc>
        <w:tc>
          <w:tcPr>
            <w:tcW w:w="378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942F6" w:rsidRPr="00AB57BC" w:rsidRDefault="00AB57BC" w:rsidP="004942F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Sporti nuk ka kufij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42F6" w:rsidRPr="003D3786" w:rsidRDefault="004942F6" w:rsidP="004942F6">
            <w:pPr>
              <w:pStyle w:val="BodyText"/>
              <w:jc w:val="center"/>
              <w:rPr>
                <w:sz w:val="22"/>
                <w:szCs w:val="22"/>
              </w:rPr>
            </w:pPr>
            <w:r w:rsidRPr="004942F6">
              <w:rPr>
                <w:sz w:val="22"/>
                <w:szCs w:val="22"/>
              </w:rPr>
              <w:t>79</w:t>
            </w:r>
          </w:p>
        </w:tc>
        <w:tc>
          <w:tcPr>
            <w:tcW w:w="505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2F6" w:rsidRPr="00403B1E" w:rsidRDefault="000E45E6" w:rsidP="00403B1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Buxheti do të duhet të pësojë ndryshime ngaqë janë identifikuar kategori të shpenzimeve që janë tepër të larta dhe do të duhet të zvogëlohen</w:t>
            </w:r>
            <w:r w:rsidRPr="00403B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56D6C" w:rsidRPr="00B60D48" w:rsidTr="000A2F15">
        <w:trPr>
          <w:trHeight w:val="349"/>
          <w:jc w:val="center"/>
        </w:trPr>
        <w:tc>
          <w:tcPr>
            <w:tcW w:w="13050" w:type="dxa"/>
            <w:gridSpan w:val="5"/>
            <w:tcBorders>
              <w:top w:val="single" w:sz="12" w:space="0" w:color="auto"/>
              <w:left w:val="nil"/>
              <w:bottom w:val="single" w:sz="12" w:space="0" w:color="231F20"/>
              <w:right w:val="nil"/>
            </w:tcBorders>
            <w:shd w:val="clear" w:color="auto" w:fill="FFFFFF" w:themeFill="background1"/>
            <w:vAlign w:val="center"/>
          </w:tcPr>
          <w:p w:rsidR="00756D6C" w:rsidRDefault="00756D6C" w:rsidP="000A2F15">
            <w:pPr>
              <w:pStyle w:val="TableParagraph"/>
              <w:spacing w:line="159" w:lineRule="exact"/>
              <w:ind w:left="29"/>
              <w:jc w:val="center"/>
              <w:rPr>
                <w:rFonts w:asciiTheme="minorHAnsi" w:hAnsiTheme="minorHAnsi" w:cstheme="minorHAnsi"/>
                <w:color w:val="231F20"/>
                <w:lang w:val="en-US"/>
              </w:rPr>
            </w:pPr>
          </w:p>
          <w:p w:rsidR="00B32646" w:rsidRDefault="00B32646" w:rsidP="000A2F15">
            <w:pPr>
              <w:pStyle w:val="TableParagraph"/>
              <w:spacing w:line="159" w:lineRule="exact"/>
              <w:ind w:left="29"/>
              <w:jc w:val="center"/>
              <w:rPr>
                <w:rFonts w:asciiTheme="minorHAnsi" w:hAnsiTheme="minorHAnsi" w:cstheme="minorHAnsi"/>
                <w:color w:val="231F20"/>
                <w:lang w:val="en-US"/>
              </w:rPr>
            </w:pPr>
          </w:p>
          <w:p w:rsidR="00B32646" w:rsidRDefault="00B32646" w:rsidP="000A2F15">
            <w:pPr>
              <w:pStyle w:val="TableParagraph"/>
              <w:spacing w:line="159" w:lineRule="exact"/>
              <w:ind w:left="29"/>
              <w:jc w:val="center"/>
              <w:rPr>
                <w:rFonts w:asciiTheme="minorHAnsi" w:hAnsiTheme="minorHAnsi" w:cstheme="minorHAnsi"/>
                <w:color w:val="231F20"/>
                <w:lang w:val="en-US"/>
              </w:rPr>
            </w:pPr>
          </w:p>
          <w:p w:rsidR="00A11828" w:rsidRDefault="00A11828" w:rsidP="000A2F15">
            <w:pPr>
              <w:pStyle w:val="TableParagraph"/>
              <w:spacing w:line="159" w:lineRule="exact"/>
              <w:ind w:left="29"/>
              <w:jc w:val="center"/>
              <w:rPr>
                <w:rFonts w:asciiTheme="minorHAnsi" w:hAnsiTheme="minorHAnsi" w:cstheme="minorHAnsi"/>
                <w:color w:val="231F20"/>
                <w:lang w:val="en-US"/>
              </w:rPr>
            </w:pPr>
          </w:p>
          <w:p w:rsidR="00A11828" w:rsidRPr="003D3786" w:rsidRDefault="00A11828" w:rsidP="000A2F15">
            <w:pPr>
              <w:pStyle w:val="TableParagraph"/>
              <w:spacing w:line="159" w:lineRule="exact"/>
              <w:ind w:left="29"/>
              <w:jc w:val="center"/>
              <w:rPr>
                <w:rFonts w:asciiTheme="minorHAnsi" w:hAnsiTheme="minorHAnsi" w:cstheme="minorHAnsi"/>
                <w:color w:val="231F20"/>
                <w:lang w:val="en-US"/>
              </w:rPr>
            </w:pPr>
          </w:p>
        </w:tc>
      </w:tr>
      <w:tr w:rsidR="008D0D40" w:rsidRPr="00B60D48" w:rsidTr="000A2F15">
        <w:trPr>
          <w:trHeight w:val="331"/>
          <w:jc w:val="center"/>
        </w:trPr>
        <w:tc>
          <w:tcPr>
            <w:tcW w:w="13050" w:type="dxa"/>
            <w:gridSpan w:val="5"/>
            <w:tcBorders>
              <w:top w:val="single" w:sz="12" w:space="0" w:color="231F20"/>
              <w:left w:val="single" w:sz="12" w:space="0" w:color="231F20"/>
              <w:bottom w:val="single" w:sz="2" w:space="0" w:color="231F20"/>
              <w:right w:val="single" w:sz="12" w:space="0" w:color="231F20"/>
            </w:tcBorders>
            <w:shd w:val="solid" w:color="D9D9D9" w:themeColor="background1" w:themeShade="D9" w:fill="D9D9D9" w:themeFill="background1" w:themeFillShade="D9"/>
          </w:tcPr>
          <w:p w:rsidR="008D0D40" w:rsidRPr="00756D6C" w:rsidRDefault="000E45E6" w:rsidP="000A2F15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q-AL"/>
              </w:rPr>
              <w:t>PROJEKTET TË CILAT NUK JANË MIRATUAR PËR FINANCIM</w:t>
            </w:r>
          </w:p>
        </w:tc>
      </w:tr>
      <w:tr w:rsidR="00756D6C" w:rsidRPr="00B60D48" w:rsidTr="00B32646">
        <w:trPr>
          <w:trHeight w:val="331"/>
          <w:jc w:val="center"/>
        </w:trPr>
        <w:tc>
          <w:tcPr>
            <w:tcW w:w="13050" w:type="dxa"/>
            <w:gridSpan w:val="5"/>
            <w:tcBorders>
              <w:top w:val="single" w:sz="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solid" w:color="E2E2E2" w:fill="F2F2F2" w:themeFill="background1" w:themeFillShade="F2"/>
          </w:tcPr>
          <w:p w:rsidR="00756D6C" w:rsidRPr="003D3786" w:rsidRDefault="00AB57BC" w:rsidP="00AB57BC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PRAGU I DYT</w:t>
            </w:r>
            <w:r>
              <w:rPr>
                <w:b/>
                <w:sz w:val="24"/>
                <w:szCs w:val="24"/>
                <w:lang w:val="sq-AL"/>
              </w:rPr>
              <w:t>Ë</w:t>
            </w:r>
            <w:r w:rsidR="007734D8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  <w:lang w:val="sq-AL"/>
              </w:rPr>
              <w:t>RELEVANCA</w:t>
            </w:r>
          </w:p>
        </w:tc>
      </w:tr>
      <w:tr w:rsidR="00403B1E" w:rsidRPr="007734D8" w:rsidTr="00B32646">
        <w:trPr>
          <w:trHeight w:val="1613"/>
          <w:jc w:val="center"/>
        </w:trPr>
        <w:tc>
          <w:tcPr>
            <w:tcW w:w="630" w:type="dxa"/>
            <w:tcBorders>
              <w:top w:val="single" w:sz="12" w:space="0" w:color="231F20"/>
              <w:left w:val="single" w:sz="1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403B1E" w:rsidRPr="00B32646" w:rsidRDefault="00B32646" w:rsidP="00403B1E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685" w:type="dxa"/>
            <w:tcBorders>
              <w:top w:val="single" w:sz="1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403B1E" w:rsidRPr="00AB57BC" w:rsidRDefault="00AB57BC" w:rsidP="00403B1E">
            <w:pPr>
              <w:pStyle w:val="BodyText"/>
              <w:rPr>
                <w:sz w:val="22"/>
                <w:szCs w:val="22"/>
                <w:lang w:val="sq-AL"/>
              </w:rPr>
            </w:pPr>
            <w:r>
              <w:rPr>
                <w:lang w:val="sq-AL"/>
              </w:rPr>
              <w:t xml:space="preserve">Asociacioni </w:t>
            </w:r>
            <w:r w:rsidR="00403B1E" w:rsidRPr="00661F06">
              <w:t xml:space="preserve"> </w:t>
            </w:r>
            <w:r>
              <w:rPr>
                <w:lang w:val="sq-AL"/>
              </w:rPr>
              <w:t>për Iniciativa Demokratike</w:t>
            </w:r>
            <w:r w:rsidR="00403B1E" w:rsidRPr="00661F06">
              <w:t>- А</w:t>
            </w:r>
            <w:r>
              <w:rPr>
                <w:lang w:val="sq-AL"/>
              </w:rPr>
              <w:t>DI</w:t>
            </w:r>
          </w:p>
        </w:tc>
        <w:tc>
          <w:tcPr>
            <w:tcW w:w="3780" w:type="dxa"/>
            <w:tcBorders>
              <w:top w:val="single" w:sz="1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403B1E" w:rsidRPr="007734D8" w:rsidRDefault="00AB57BC" w:rsidP="00AB57BC">
            <w:pPr>
              <w:pStyle w:val="BodyText"/>
              <w:rPr>
                <w:sz w:val="22"/>
                <w:szCs w:val="22"/>
              </w:rPr>
            </w:pPr>
            <w:r>
              <w:rPr>
                <w:lang w:val="sq-AL"/>
              </w:rPr>
              <w:t>Perspektiva Sipërmarrëse Rinore</w:t>
            </w:r>
            <w:r w:rsidR="00403B1E" w:rsidRPr="00661F06">
              <w:t xml:space="preserve"> </w:t>
            </w:r>
            <w:r>
              <w:t>–</w:t>
            </w:r>
            <w:r w:rsidR="00403B1E" w:rsidRPr="00661F06">
              <w:t xml:space="preserve"> </w:t>
            </w:r>
            <w:r>
              <w:rPr>
                <w:lang w:val="sq-AL"/>
              </w:rPr>
              <w:t>Kam ideja</w:t>
            </w:r>
            <w:r w:rsidR="00403B1E" w:rsidRPr="00661F06">
              <w:t>!</w:t>
            </w:r>
          </w:p>
        </w:tc>
        <w:tc>
          <w:tcPr>
            <w:tcW w:w="900" w:type="dxa"/>
            <w:tcBorders>
              <w:top w:val="single" w:sz="1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403B1E" w:rsidRPr="00403B1E" w:rsidRDefault="00403B1E" w:rsidP="00403B1E">
            <w:pPr>
              <w:pStyle w:val="BodyText"/>
              <w:jc w:val="center"/>
              <w:rPr>
                <w:lang w:val="en-US"/>
              </w:rPr>
            </w:pPr>
            <w:r w:rsidRPr="00403B1E">
              <w:rPr>
                <w:lang w:val="en-US"/>
              </w:rPr>
              <w:t>31</w:t>
            </w:r>
          </w:p>
        </w:tc>
        <w:tc>
          <w:tcPr>
            <w:tcW w:w="5055" w:type="dxa"/>
            <w:tcBorders>
              <w:top w:val="single" w:sz="12" w:space="0" w:color="231F20"/>
              <w:left w:val="single" w:sz="2" w:space="0" w:color="231F20"/>
              <w:bottom w:val="single" w:sz="2" w:space="0" w:color="231F20"/>
              <w:right w:val="single" w:sz="12" w:space="0" w:color="231F20"/>
            </w:tcBorders>
            <w:shd w:val="clear" w:color="auto" w:fill="auto"/>
          </w:tcPr>
          <w:p w:rsidR="00403B1E" w:rsidRPr="00403B1E" w:rsidRDefault="008134FF" w:rsidP="008134F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 numrin e arritur të pikëve, propozim-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projek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ti nuk e tejkaloi pragun e dytë - relevancë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Është parashtruar i njëjti propozim-projekt nga thirrja paraprake. Ndonëse vetë propozim-projekti është përpunuar deri në fund dhe është përmirësuar</w:t>
            </w:r>
            <w:r w:rsidR="00403B1E" w:rsidRPr="00403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megjithatë bëhet fjalë për të njëjtën ide projekti</w:t>
            </w:r>
            <w:r w:rsidR="00403B1E" w:rsidRPr="00403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 cila është vlerësuar si jorelevante sespe është mbuluar nga qendrat e karrierës së shkollave të mesme.</w:t>
            </w:r>
            <w:r w:rsidR="00403B1E" w:rsidRPr="00403B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B32646" w:rsidRPr="007734D8" w:rsidTr="00B32646">
        <w:trPr>
          <w:trHeight w:val="179"/>
          <w:jc w:val="center"/>
        </w:trPr>
        <w:tc>
          <w:tcPr>
            <w:tcW w:w="630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B32646" w:rsidRDefault="00A11828" w:rsidP="00B32646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  <w:r w:rsidR="00B326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AB57BC" w:rsidRDefault="00AB57BC" w:rsidP="00B32646">
            <w:pPr>
              <w:pStyle w:val="BodyText"/>
              <w:rPr>
                <w:sz w:val="22"/>
                <w:szCs w:val="22"/>
                <w:lang w:val="sq-AL"/>
              </w:rPr>
            </w:pPr>
            <w:r>
              <w:rPr>
                <w:lang w:val="sq-AL"/>
              </w:rPr>
              <w:t>Medium</w:t>
            </w:r>
          </w:p>
        </w:tc>
        <w:tc>
          <w:tcPr>
            <w:tcW w:w="37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7734D8" w:rsidRDefault="00AB57BC" w:rsidP="00AB57BC">
            <w:pPr>
              <w:pStyle w:val="BodyText"/>
              <w:rPr>
                <w:sz w:val="22"/>
                <w:szCs w:val="22"/>
              </w:rPr>
            </w:pPr>
            <w:r>
              <w:rPr>
                <w:lang w:val="sq-AL"/>
              </w:rPr>
              <w:t>Promovimi i deponimit të drejtë dhe riciklimi i mbetjeve Gostivar</w:t>
            </w:r>
          </w:p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B32646" w:rsidRDefault="00B32646" w:rsidP="00B32646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B32646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50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231F20"/>
            </w:tcBorders>
            <w:vAlign w:val="center"/>
          </w:tcPr>
          <w:p w:rsidR="00AB57BC" w:rsidRPr="00AB57BC" w:rsidRDefault="00AB57BC" w:rsidP="00AB57B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 numrin e arritur të pikëve, propozim-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projek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ti nuk e tejkaloi pragun e dytë - relevancë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. Grupi i synuar nuk është i përcaktuar qartë dhe as i përzgjedhur në mënyrë strategjike; aktivitetet e propozuara nuk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shpjeguar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dhe nuk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është e qartë se si shfrytëzuesit e fundit 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do të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kenë dobi 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nga zbatimi i tyre ose si do të sigurohet qëndrueshmëria e tyre pas përfundimit të projektit. Korniza logjike nuk përmban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indikatorë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matshëm; buxheti nuk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është elaboruar n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mën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yrë narrative, nuk është zbërthyer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dhe përmban shuma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paushalle. As korniza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logjik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e 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as buxheti nuk janë përpunuar në përputhje me udhëzimet e thirrjes publike, gjë që pengon vlerësimin e duhur të propozim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projektit.</w:t>
            </w:r>
          </w:p>
        </w:tc>
      </w:tr>
      <w:tr w:rsidR="00B32646" w:rsidRPr="007734D8" w:rsidTr="00B32646">
        <w:trPr>
          <w:trHeight w:val="179"/>
          <w:jc w:val="center"/>
        </w:trPr>
        <w:tc>
          <w:tcPr>
            <w:tcW w:w="630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B32646" w:rsidRDefault="00A11828" w:rsidP="00B32646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B326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AB57BC" w:rsidRDefault="00AB57BC" w:rsidP="00B32646">
            <w:pPr>
              <w:pStyle w:val="BodyText"/>
              <w:rPr>
                <w:sz w:val="22"/>
                <w:szCs w:val="22"/>
                <w:lang w:val="sq-AL"/>
              </w:rPr>
            </w:pPr>
            <w:r>
              <w:rPr>
                <w:lang w:val="sq-AL"/>
              </w:rPr>
              <w:t>Eco Partners Gostivar</w:t>
            </w:r>
          </w:p>
        </w:tc>
        <w:tc>
          <w:tcPr>
            <w:tcW w:w="37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AB57BC" w:rsidRDefault="00AB57BC" w:rsidP="00B32646">
            <w:pPr>
              <w:pStyle w:val="BodyText"/>
              <w:rPr>
                <w:sz w:val="22"/>
                <w:szCs w:val="22"/>
                <w:lang w:val="sq-AL"/>
              </w:rPr>
            </w:pPr>
            <w:r>
              <w:rPr>
                <w:lang w:val="sq-AL"/>
              </w:rPr>
              <w:t>Eko Këndi</w:t>
            </w:r>
          </w:p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B32646" w:rsidRDefault="00B32646" w:rsidP="00B32646">
            <w:pPr>
              <w:pStyle w:val="BodyText"/>
              <w:jc w:val="center"/>
              <w:rPr>
                <w:sz w:val="22"/>
                <w:szCs w:val="22"/>
              </w:rPr>
            </w:pPr>
            <w:r w:rsidRPr="00B32646">
              <w:rPr>
                <w:rFonts w:asciiTheme="minorHAnsi" w:eastAsia="Times New Roman" w:hAnsiTheme="minorHAnsi" w:cstheme="minorHAnsi"/>
                <w:bCs/>
              </w:rPr>
              <w:t>24</w:t>
            </w:r>
          </w:p>
        </w:tc>
        <w:tc>
          <w:tcPr>
            <w:tcW w:w="50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231F20"/>
            </w:tcBorders>
            <w:vAlign w:val="center"/>
          </w:tcPr>
          <w:p w:rsidR="00AB57BC" w:rsidRPr="00AB57BC" w:rsidRDefault="00AB57BC" w:rsidP="009C52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 numrin e arritur të pikëve, propozim-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projek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ti nuk e tejkaloi pragun e dytë - relevancë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Propozim-projekti </w:t>
            </w:r>
            <w:r w:rsid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përpunuar deri në fund dhe Komisioni nuk ka mundësi ta vlerësojë në mënyrë adekuate. Aktivitetet nuk janë në përputhshmëri dhe nuk çojnë deri në realizimin e sferës prioritare. K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orniza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logjik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dhe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buxheti nuk janë përpunuar në përputhje me udhëzimet e thirrjes publike.</w:t>
            </w:r>
          </w:p>
        </w:tc>
      </w:tr>
      <w:tr w:rsidR="00B32646" w:rsidRPr="007734D8" w:rsidTr="003C1AF3">
        <w:trPr>
          <w:trHeight w:val="2605"/>
          <w:jc w:val="center"/>
        </w:trPr>
        <w:tc>
          <w:tcPr>
            <w:tcW w:w="630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B32646" w:rsidRDefault="00A11828" w:rsidP="00B32646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B326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7734D8" w:rsidRDefault="00AB57BC" w:rsidP="00AB57BC">
            <w:pPr>
              <w:pStyle w:val="BodyText"/>
              <w:rPr>
                <w:sz w:val="22"/>
                <w:szCs w:val="22"/>
              </w:rPr>
            </w:pPr>
            <w:r>
              <w:rPr>
                <w:color w:val="000000"/>
                <w:lang w:val="sq-AL"/>
              </w:rPr>
              <w:t>DRITA AGV Gostivar</w:t>
            </w:r>
          </w:p>
        </w:tc>
        <w:tc>
          <w:tcPr>
            <w:tcW w:w="37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7734D8" w:rsidRDefault="00AB57BC" w:rsidP="00AB57BC">
            <w:pPr>
              <w:pStyle w:val="BodyText"/>
              <w:rPr>
                <w:sz w:val="22"/>
                <w:szCs w:val="22"/>
              </w:rPr>
            </w:pPr>
            <w:r>
              <w:rPr>
                <w:lang w:val="sq-AL"/>
              </w:rPr>
              <w:t>Pak më ndryshe, shumë më mirë</w:t>
            </w:r>
          </w:p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B32646" w:rsidRDefault="00B32646" w:rsidP="00B32646">
            <w:pPr>
              <w:pStyle w:val="BodyText"/>
              <w:jc w:val="center"/>
              <w:rPr>
                <w:sz w:val="22"/>
                <w:szCs w:val="22"/>
              </w:rPr>
            </w:pPr>
            <w:r w:rsidRPr="00B32646">
              <w:rPr>
                <w:rFonts w:asciiTheme="minorHAnsi" w:eastAsia="Times New Roman" w:hAnsiTheme="minorHAnsi" w:cstheme="minorHAnsi"/>
                <w:bCs/>
              </w:rPr>
              <w:t>24</w:t>
            </w:r>
          </w:p>
        </w:tc>
        <w:tc>
          <w:tcPr>
            <w:tcW w:w="50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231F20"/>
            </w:tcBorders>
            <w:vAlign w:val="center"/>
          </w:tcPr>
          <w:p w:rsidR="009C5287" w:rsidRPr="009C5287" w:rsidRDefault="009C5287" w:rsidP="009C528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 numrin e arritur të pikëve, propozim-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projek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ti nuk e tejkaloi pragun e dytë - relevancë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 Grupi i synuar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dhe nevojat e grupit të synuar nuk janë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përcaktuar qartë dhe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përfshijnë fëmijë, nëpunës publik, institucione publike. Propozim-projekti nuk elaboron se në ç’mënyrë aktivitetet e propozuara do të jenë të dobishme për shfrytëzuesit e fundit dhe në ç’mënyrë do të sigurohet qëndrueshmëria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pas përfundimit të projektit.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Vërejtje plotësuese; buxheti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përmban shuma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paushalle ndërsa korniza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logjik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indikatorë të matshëm. Të dy dokumentet nuk janë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përpunuar në përputhje me udhëzimet e thirrjes publike, gjë që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pamundësoi evalvimin adekuat</w:t>
            </w:r>
            <w:r w:rsidRPr="00AB57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</w:tr>
      <w:tr w:rsidR="00B32646" w:rsidRPr="007734D8" w:rsidTr="00A11828">
        <w:trPr>
          <w:trHeight w:val="3136"/>
          <w:jc w:val="center"/>
        </w:trPr>
        <w:tc>
          <w:tcPr>
            <w:tcW w:w="630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B32646" w:rsidRDefault="00A11828" w:rsidP="00B32646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  <w:r w:rsidR="00B326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7734D8" w:rsidRDefault="00AB57BC" w:rsidP="00B32646">
            <w:pPr>
              <w:pStyle w:val="BodyText"/>
              <w:rPr>
                <w:sz w:val="22"/>
                <w:szCs w:val="22"/>
              </w:rPr>
            </w:pPr>
            <w:r>
              <w:rPr>
                <w:color w:val="000000"/>
                <w:lang w:val="sq-AL"/>
              </w:rPr>
              <w:t>DRITA AGV Gostivar</w:t>
            </w:r>
          </w:p>
        </w:tc>
        <w:tc>
          <w:tcPr>
            <w:tcW w:w="37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7734D8" w:rsidRDefault="00AB57BC" w:rsidP="00AB57BC">
            <w:pPr>
              <w:pStyle w:val="BodyText"/>
              <w:rPr>
                <w:sz w:val="22"/>
                <w:szCs w:val="22"/>
              </w:rPr>
            </w:pPr>
            <w:r>
              <w:rPr>
                <w:lang w:val="sq-AL"/>
              </w:rPr>
              <w:t>Prej nesh për ju</w:t>
            </w:r>
            <w:r>
              <w:t xml:space="preserve"> – </w:t>
            </w:r>
            <w:r>
              <w:rPr>
                <w:lang w:val="sq-AL"/>
              </w:rPr>
              <w:t>Të gjithë së bashku për zhvillim ekonomik lokal të Gostivarit</w:t>
            </w:r>
          </w:p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32646" w:rsidRPr="00B32646" w:rsidRDefault="00B32646" w:rsidP="00B32646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50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231F20"/>
            </w:tcBorders>
            <w:shd w:val="clear" w:color="auto" w:fill="auto"/>
          </w:tcPr>
          <w:p w:rsidR="009C5287" w:rsidRPr="009C5287" w:rsidRDefault="009C5287" w:rsidP="00302D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 numrin 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arritur të pikave, propozim-projekti nuk e tejkaloi pragun e dytë - relevancë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. Organizata qytetare 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 parashtroi të njëjtin propozim-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projekt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që u refuzua në thirrjen e mëparshme publike pa 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mos i 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marrë parasysh vërejtjet 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që ishin dhënë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. Të gjitha aktivitetet e propozuara bien nën juridiksionin e Komunës dhe Ministrisë së Vetëqeverisjes Lokale. 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dhënë a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snjë shpjegim 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se në ç’mënyrë 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grupi i synuar në fjalë 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do të ketë benefit 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nga aktivitetet e propozuara. 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Vërejtje 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shtesë: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buxheti përmban vetëm shuma paushall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dhe nuk 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është elaboruar 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mënyrë narrative, ndërsa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përmban 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edhe pozicion "shpenzime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paparashikuara". As buxheti, as korniza logjike nuk janë përg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atitur në përputhje me kahet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 thirrjes publike, gjë që 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pengoi evalvimin adekuat 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propozim</w:t>
            </w:r>
            <w:r w:rsidR="00302DC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-projekt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</w:tr>
      <w:tr w:rsidR="00A11828" w:rsidRPr="007734D8" w:rsidTr="006E5B5D">
        <w:trPr>
          <w:trHeight w:val="2425"/>
          <w:jc w:val="center"/>
        </w:trPr>
        <w:tc>
          <w:tcPr>
            <w:tcW w:w="630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A11828" w:rsidRDefault="00A11828" w:rsidP="00A1182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2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A11828" w:rsidRPr="00915F6C" w:rsidRDefault="00AB57BC" w:rsidP="00A11828">
            <w:pPr>
              <w:pStyle w:val="BodyText"/>
              <w:rPr>
                <w:color w:val="000000"/>
              </w:rPr>
            </w:pPr>
            <w:r>
              <w:rPr>
                <w:color w:val="000000"/>
                <w:lang w:val="sq-AL"/>
              </w:rPr>
              <w:t>ETIKA Gostivar</w:t>
            </w:r>
          </w:p>
        </w:tc>
        <w:tc>
          <w:tcPr>
            <w:tcW w:w="37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A11828" w:rsidRPr="00915F6C" w:rsidRDefault="00A11828" w:rsidP="00A11828">
            <w:pPr>
              <w:pStyle w:val="BodyText"/>
            </w:pPr>
            <w:r w:rsidRPr="001438F8">
              <w:t>Ngritja e vetedijes dhe prevenca ndaj dhunes ne familije ne Komunen e Gostivarit</w:t>
            </w:r>
          </w:p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A11828" w:rsidRDefault="00A11828" w:rsidP="00A1182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50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231F20"/>
            </w:tcBorders>
            <w:shd w:val="clear" w:color="auto" w:fill="auto"/>
          </w:tcPr>
          <w:p w:rsidR="00302DCF" w:rsidRPr="00302DCF" w:rsidRDefault="00302DCF" w:rsidP="00302DCF">
            <w:pPr>
              <w:pStyle w:val="TableParagraph"/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</w:pP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Me numrin e arritur të pikave, propozimi i projektit nuk e tejkalonte pragun e dytë - rëndësinë.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Nuk janë marrë parasysh vërejtjet nga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 thirrja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paraprake 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publike. Aktivitetet e projektit nuk çojnë në realizimin e 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ezultateve të pritshme dhe sferën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 prioritare; nevojat 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grupit të synuar dhe përdoruesve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 përfundimtar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l nuk janë përfshirë siç duhet me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 projekti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n. Vërejtje 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shtesë: buxheti nuk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është 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shpje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guar në mënyrë narrative, 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përmban shuma të mëdha dhe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e 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tejkalon përqindjen e lejuar për kostot administrative dhe kostot e dukshmërisë.</w:t>
            </w:r>
          </w:p>
        </w:tc>
      </w:tr>
      <w:tr w:rsidR="00A11828" w:rsidRPr="007734D8" w:rsidTr="006E5B5D">
        <w:trPr>
          <w:trHeight w:val="2137"/>
          <w:jc w:val="center"/>
        </w:trPr>
        <w:tc>
          <w:tcPr>
            <w:tcW w:w="630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A11828" w:rsidRDefault="00A11828" w:rsidP="00A1182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2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A11828" w:rsidRPr="00AB57BC" w:rsidRDefault="00AB57BC" w:rsidP="00A11828">
            <w:pPr>
              <w:pStyle w:val="BodyText"/>
              <w:rPr>
                <w:color w:val="000000"/>
                <w:lang w:val="sq-AL"/>
              </w:rPr>
            </w:pPr>
            <w:r>
              <w:rPr>
                <w:lang w:val="sq-AL"/>
              </w:rPr>
              <w:t>Fondacioni Qendra Informatike - ITC</w:t>
            </w:r>
          </w:p>
        </w:tc>
        <w:tc>
          <w:tcPr>
            <w:tcW w:w="37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A11828" w:rsidRPr="00915F6C" w:rsidRDefault="00AB57BC" w:rsidP="00AB57BC">
            <w:pPr>
              <w:pStyle w:val="BodyText"/>
            </w:pPr>
            <w:r>
              <w:rPr>
                <w:lang w:val="sq-AL"/>
              </w:rPr>
              <w:t>Alerto</w:t>
            </w:r>
            <w:r>
              <w:t xml:space="preserve"> – </w:t>
            </w:r>
            <w:r>
              <w:rPr>
                <w:lang w:val="sq-AL"/>
              </w:rPr>
              <w:t>Aplikacioni mobil për denoncim të problemeve</w:t>
            </w:r>
          </w:p>
        </w:tc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A11828" w:rsidRDefault="00A11828" w:rsidP="00A1182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B32646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50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231F20"/>
            </w:tcBorders>
            <w:vAlign w:val="center"/>
          </w:tcPr>
          <w:p w:rsidR="00302DCF" w:rsidRPr="00302DCF" w:rsidRDefault="00302DCF" w:rsidP="008134FF">
            <w:pPr>
              <w:pStyle w:val="TableParagraph"/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</w:pP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 numrin e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arritur të pikave, propozim-projekti nuk e tejkaloi pragun e dytë - relevancë</w:t>
            </w:r>
            <w:r w:rsidRPr="009C52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Grupi i synuar nuk është për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zgjedhur në mënyrë strategjike dhe aktivitetet e projektit në asnjë mënyrë nuk </w:t>
            </w:r>
            <w:r w:rsidR="00767CDE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e 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përfshijnë grupin e synuar dhe as nuk </w:t>
            </w:r>
            <w:r w:rsidR="008134F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çojnë deri te ndonjë benefit p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ër të njëjtën</w:t>
            </w:r>
            <w:r w:rsidR="008134F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. Propozim-projekti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 nuk është mirë dhe plotësisht i përpunuar dhe mungo</w:t>
            </w:r>
            <w:r w:rsidR="00767CDE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j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n</w:t>
            </w:r>
            <w:r w:rsidR="008134F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ë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 shumë informacione, gjë që pengon vlerësimin </w:t>
            </w:r>
            <w:r w:rsidR="008134F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adekuat; korniza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 logjik</w:t>
            </w:r>
            <w:r w:rsidR="008134F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e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 nuk është plotësuar </w:t>
            </w:r>
            <w:r w:rsidR="008134F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në tërësi dhe nuk ka indikatorë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 xml:space="preserve"> të matshëm; buxheti nuk </w:t>
            </w:r>
            <w:r w:rsidR="008134F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është elaboruar n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ë mënyrë narr</w:t>
            </w:r>
            <w:r w:rsidR="008134F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ative dhe përmban shuma paushalle</w:t>
            </w:r>
            <w:r w:rsidRPr="00302DCF"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  <w:t>.</w:t>
            </w:r>
          </w:p>
        </w:tc>
      </w:tr>
    </w:tbl>
    <w:p w:rsidR="00503C1D" w:rsidRDefault="00503C1D" w:rsidP="008D0D40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8D0D40" w:rsidRPr="005072E2" w:rsidRDefault="008D0D40" w:rsidP="008D0D40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646651" w:rsidRDefault="00646651" w:rsidP="00A11828">
      <w:pPr>
        <w:widowControl/>
        <w:autoSpaceDE/>
        <w:autoSpaceDN/>
        <w:spacing w:after="160" w:line="259" w:lineRule="auto"/>
      </w:pPr>
    </w:p>
    <w:sectPr w:rsidR="00646651" w:rsidSect="00A11828">
      <w:headerReference w:type="default" r:id="rId6"/>
      <w:headerReference w:type="first" r:id="rId7"/>
      <w:pgSz w:w="15840" w:h="12240" w:orient="landscape"/>
      <w:pgMar w:top="1440" w:right="1440" w:bottom="45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41" w:rsidRDefault="00AE5841" w:rsidP="008D0D40">
      <w:r>
        <w:separator/>
      </w:r>
    </w:p>
  </w:endnote>
  <w:endnote w:type="continuationSeparator" w:id="1">
    <w:p w:rsidR="00AE5841" w:rsidRDefault="00AE5841" w:rsidP="008D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41" w:rsidRDefault="00AE5841" w:rsidP="008D0D40">
      <w:r>
        <w:separator/>
      </w:r>
    </w:p>
  </w:footnote>
  <w:footnote w:type="continuationSeparator" w:id="1">
    <w:p w:rsidR="00AE5841" w:rsidRDefault="00AE5841" w:rsidP="008D0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86" w:rsidRDefault="003D3786">
    <w:pPr>
      <w:pStyle w:val="Header"/>
    </w:pPr>
  </w:p>
  <w:p w:rsidR="008D0D40" w:rsidRDefault="008D0D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6C" w:rsidRDefault="00931E19">
    <w:pPr>
      <w:pStyle w:val="Header"/>
    </w:pPr>
    <w:r w:rsidRPr="00931E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21.8pt;margin-top:9pt;width:439.25pt;height:83.55pt;z-index:-251658240;visibility:visible;mso-width-relative:margin;mso-height-relative:margin" wrapcoords="-37 -195 -37 21405 21637 21405 21637 -195 -37 -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JNpQIAADAFAAAOAAAAZHJzL2Uyb0RvYy54bWysVMlu2zAQvRfoPxC8K1oiS7YQOfCmIkC6&#10;AEk/gKYoSyhFqiRjyQ3y7x1StuO0QFEU1YGa4fI4780Mb26HlqM9U7qRIsfhVYARE1SWjdjl+Otj&#10;4U0x0oaIknApWI4PTOPb+ft3N32XsUjWkpdMIQAROuu7HNfGdJnva1qzlugr2TEBi5VULTHgqp1f&#10;KtIDesv9KAgSv5eq7JSkTGuYXY+LeO7wq4pR87mqNDOI5xhiM25Ubtza0Z/fkGynSFc39BgG+Yco&#10;WtIIuPQMtSaGoCfV/AbVNlRJLStzRWXry6pqKHMcgE0Y/MLmoSYdc1xAHN2dZdL/D5Z+2n9RqClz&#10;HGMkSAspemSDQUs5oMgxAu9eG8vNzjtOz0URLSebIvYKsLw4WMbechPPvCK6nm6itFhF18mLPR0m&#10;GVWMGKiOu/Kkb5j8XfzHTFtlYt8p7AJ9LlardXQdTL10HS69OIkTb7FZpt46TJNotgkX6Qxuh8z6&#10;LubT37Hw+05njrQtEWc+dKCAGYAxFLCjrLt7Sb9pJOSqJmLHFkrJvmakBOFDB3xxdMTRFmTbf5Ql&#10;KEiejHRAQ6VaqxzkGQE6FODhXHRWTQqTk0k6jVNQn8JaGCRhMI2PwZ+Od0qbD0y2yBo5VlDVDp7s&#10;gdPI87TF3qYlb8qi4dw5arddcYX2BDoA0gXfEf3NNi5Qn+PZJJqMCryBOOgzArReKXuMONEGJv8E&#10;2TYGWps3bY6ngf3svSSzOm5E6WxDGj7akCouIFNWWKvlqKoZtgNstJNbWR5AYiVBANARnhwwaql+&#10;YNRD++ZYf38iikFkdwLSNAvj2Pa7c+JJGoGjLle2lytEUIDKscFoNFfGvRE2XiEXkM6qcUK/RnKM&#10;FdrS1dfxCbF9f+m7Xa8P3fwnAAAA//8DAFBLAwQUAAYACAAAACEAQHRAxt0AAAALAQAADwAAAGRy&#10;cy9kb3ducmV2LnhtbEyPzU7DMBCE70i8g7VI3KjzQ6sqxKmqiB6DRMqF2yZZkoh4bcVuG94e5wTH&#10;nfk0O5MfFj2JK81uNKwg3kQgiFvTjdwr+DifnvYgnEfucDJMCn7IwaG4v8sx68yN3+la+16EEHYZ&#10;Khi8t5mUrh1Io9sYSxy8LzNr9OGce9nNeAvhepJJFO2kxpHDhwEtlQO13/VFKzg1pbX4Vr9+Vmnq&#10;mi1XRyorpR4fluMLCE+L/4NhrR+qQxE6NebCnROTguQ53QU0GPuwaQXiJIlBNKuyjUEWufy/ofgF&#10;AAD//wMAUEsBAi0AFAAGAAgAAAAhALaDOJL+AAAA4QEAABMAAAAAAAAAAAAAAAAAAAAAAFtDb250&#10;ZW50X1R5cGVzXS54bWxQSwECLQAUAAYACAAAACEAOP0h/9YAAACUAQAACwAAAAAAAAAAAAAAAAAv&#10;AQAAX3JlbHMvLnJlbHNQSwECLQAUAAYACAAAACEAkbgCTaUCAAAwBQAADgAAAAAAAAAAAAAAAAAu&#10;AgAAZHJzL2Uyb0RvYy54bWxQSwECLQAUAAYACAAAACEAQHRAxt0AAAALAQAADwAAAAAAAAAAAAAA&#10;AAD/BAAAZHJzL2Rvd25yZXYueG1sUEsFBgAAAAAEAAQA8wAAAAkGAAAAAA==&#10;" strokecolor="window">
          <v:textbox>
            <w:txbxContent>
              <w:p w:rsidR="00756D6C" w:rsidRDefault="00756D6C" w:rsidP="00756D6C">
                <w:pPr>
                  <w:pStyle w:val="NormalWeb"/>
                  <w:spacing w:before="120" w:beforeAutospacing="0" w:after="120" w:afterAutospacing="0"/>
                  <w:jc w:val="center"/>
                </w:pPr>
                <w:r>
                  <w:rPr>
                    <w:rFonts w:ascii="Calibri" w:hAnsi="Calibri" w:cstheme="minorBidi"/>
                    <w:b/>
                    <w:bCs/>
                    <w:sz w:val="28"/>
                    <w:szCs w:val="28"/>
                    <w:lang w:val="en-GB"/>
                  </w:rPr>
                  <w:t xml:space="preserve">Regional Programme on Local Democracy in the Western Balkans </w:t>
                </w:r>
                <w:r>
                  <w:rPr>
                    <w:rFonts w:ascii="Calibri" w:hAnsi="Calibri" w:cstheme="minorBidi"/>
                    <w:b/>
                    <w:bCs/>
                    <w:sz w:val="32"/>
                    <w:szCs w:val="32"/>
                    <w:lang w:val="en-GB"/>
                  </w:rPr>
                  <w:t>ReLOaD</w:t>
                </w:r>
              </w:p>
            </w:txbxContent>
          </v:textbox>
          <w10:wrap type="tight"/>
        </v:shape>
      </w:pict>
    </w:r>
    <w:r w:rsidR="00756D6C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8229600" cy="1760220"/>
          <wp:effectExtent l="0" t="0" r="0" b="0"/>
          <wp:wrapTight wrapText="bothSides">
            <wp:wrapPolygon edited="0">
              <wp:start x="18900" y="3740"/>
              <wp:lineTo x="1050" y="6545"/>
              <wp:lineTo x="1050" y="12623"/>
              <wp:lineTo x="1250" y="16597"/>
              <wp:lineTo x="1600" y="17299"/>
              <wp:lineTo x="2200" y="17766"/>
              <wp:lineTo x="20350" y="17766"/>
              <wp:lineTo x="20350" y="3740"/>
              <wp:lineTo x="18900" y="3740"/>
            </wp:wrapPolygon>
          </wp:wrapTight>
          <wp:docPr id="6" name="Picture 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6A2CD8B-D211-4800-B13B-EF0A3CB2E2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6A2CD8B-D211-4800-B13B-EF0A3CB2E2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76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D0D40"/>
    <w:rsid w:val="000A2F15"/>
    <w:rsid w:val="000E45E6"/>
    <w:rsid w:val="00220374"/>
    <w:rsid w:val="002B3766"/>
    <w:rsid w:val="00302DCF"/>
    <w:rsid w:val="003C1AF3"/>
    <w:rsid w:val="003D3786"/>
    <w:rsid w:val="00403B1E"/>
    <w:rsid w:val="004942F6"/>
    <w:rsid w:val="004F6149"/>
    <w:rsid w:val="00503C1D"/>
    <w:rsid w:val="00520FC9"/>
    <w:rsid w:val="00555D4E"/>
    <w:rsid w:val="00646651"/>
    <w:rsid w:val="006B05DC"/>
    <w:rsid w:val="006E5B5D"/>
    <w:rsid w:val="006F72A7"/>
    <w:rsid w:val="00740685"/>
    <w:rsid w:val="00750687"/>
    <w:rsid w:val="00756D6C"/>
    <w:rsid w:val="00767CDE"/>
    <w:rsid w:val="007734D8"/>
    <w:rsid w:val="0078789D"/>
    <w:rsid w:val="00792788"/>
    <w:rsid w:val="008134FF"/>
    <w:rsid w:val="00837FFC"/>
    <w:rsid w:val="008D0D40"/>
    <w:rsid w:val="00931E19"/>
    <w:rsid w:val="009C4133"/>
    <w:rsid w:val="009C5287"/>
    <w:rsid w:val="009E659F"/>
    <w:rsid w:val="00A11828"/>
    <w:rsid w:val="00A50AF0"/>
    <w:rsid w:val="00AB57BC"/>
    <w:rsid w:val="00AE5841"/>
    <w:rsid w:val="00AF151B"/>
    <w:rsid w:val="00B32646"/>
    <w:rsid w:val="00B35C01"/>
    <w:rsid w:val="00B60D48"/>
    <w:rsid w:val="00CC42AB"/>
    <w:rsid w:val="00F6749A"/>
    <w:rsid w:val="00F8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D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D0D4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D0D40"/>
    <w:rPr>
      <w:rFonts w:ascii="Calibri" w:eastAsia="Calibri" w:hAnsi="Calibri" w:cs="Calibri"/>
      <w:sz w:val="20"/>
      <w:szCs w:val="20"/>
      <w:lang w:val="mk-MK"/>
    </w:rPr>
  </w:style>
  <w:style w:type="paragraph" w:customStyle="1" w:styleId="TableParagraph">
    <w:name w:val="Table Paragraph"/>
    <w:basedOn w:val="Normal"/>
    <w:uiPriority w:val="1"/>
    <w:qFormat/>
    <w:rsid w:val="008D0D40"/>
  </w:style>
  <w:style w:type="paragraph" w:styleId="Header">
    <w:name w:val="header"/>
    <w:basedOn w:val="Normal"/>
    <w:link w:val="HeaderChar"/>
    <w:uiPriority w:val="99"/>
    <w:unhideWhenUsed/>
    <w:rsid w:val="008D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D40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8D0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D40"/>
    <w:rPr>
      <w:rFonts w:ascii="Calibri" w:eastAsia="Calibri" w:hAnsi="Calibri" w:cs="Calibri"/>
      <w:lang w:val="mk-MK"/>
    </w:rPr>
  </w:style>
  <w:style w:type="paragraph" w:styleId="NormalWeb">
    <w:name w:val="Normal (Web)"/>
    <w:basedOn w:val="Normal"/>
    <w:uiPriority w:val="99"/>
    <w:semiHidden/>
    <w:unhideWhenUsed/>
    <w:rsid w:val="003D378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Corporate Edition</cp:lastModifiedBy>
  <cp:revision>10</cp:revision>
  <dcterms:created xsi:type="dcterms:W3CDTF">2018-12-21T08:28:00Z</dcterms:created>
  <dcterms:modified xsi:type="dcterms:W3CDTF">2018-12-24T13:18:00Z</dcterms:modified>
</cp:coreProperties>
</file>