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13DE" w14:textId="4AC70E1F" w:rsidR="007675B0" w:rsidRDefault="005C4AAF" w:rsidP="00196300">
      <w:pPr>
        <w:pStyle w:val="Heading1"/>
        <w:jc w:val="center"/>
        <w:rPr>
          <w:lang w:val="mk-MK"/>
        </w:rPr>
      </w:pPr>
      <w:bookmarkStart w:id="0" w:name="_Toc50130863"/>
      <w:bookmarkStart w:id="1" w:name="_Toc50130870"/>
      <w:r w:rsidRPr="009E76C9">
        <w:rPr>
          <w:lang w:val="mk-MK"/>
        </w:rPr>
        <w:t>Формулар за поднесување коментари</w:t>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165DD1" w:rsidRPr="002A3568" w14:paraId="0076B4FA" w14:textId="77777777" w:rsidTr="0083032B">
        <w:trPr>
          <w:trHeight w:val="2717"/>
          <w:jc w:val="center"/>
        </w:trPr>
        <w:tc>
          <w:tcPr>
            <w:tcW w:w="9017" w:type="dxa"/>
            <w:gridSpan w:val="3"/>
            <w:shd w:val="clear" w:color="auto" w:fill="FFFFFF" w:themeFill="background1"/>
          </w:tcPr>
          <w:p w14:paraId="74BF015E" w14:textId="77777777" w:rsidR="00165DD1" w:rsidRPr="00AF3194" w:rsidRDefault="00165DD1" w:rsidP="0083032B">
            <w:pPr>
              <w:jc w:val="center"/>
              <w:rPr>
                <w:rFonts w:ascii="Calibri" w:eastAsia="Calibri" w:hAnsi="Calibri" w:cs="Calibri"/>
                <w:b/>
                <w:i/>
                <w:iCs/>
                <w:sz w:val="18"/>
                <w:szCs w:val="18"/>
              </w:rPr>
            </w:pPr>
            <w:r w:rsidRPr="0012568D">
              <w:rPr>
                <w:rFonts w:eastAsia="Calibri" w:cs="Calibri Light"/>
                <w:b/>
                <w:sz w:val="18"/>
                <w:szCs w:val="18"/>
                <w:lang w:val="mk-MK"/>
              </w:rPr>
              <w:t xml:space="preserve">Формулар за доставување коментари и предлози за Контролната листа на ПУЖССА за </w:t>
            </w:r>
            <w:r w:rsidRPr="00AF3194">
              <w:rPr>
                <w:rFonts w:ascii="Calibri" w:eastAsia="Calibri" w:hAnsi="Calibri" w:cs="Calibri"/>
                <w:b/>
                <w:sz w:val="18"/>
                <w:szCs w:val="18"/>
                <w:lang w:val="en-GB"/>
              </w:rPr>
              <w:t>“</w:t>
            </w:r>
            <w:r w:rsidRPr="00AF3194">
              <w:rPr>
                <w:rFonts w:ascii="Calibri" w:eastAsia="Calibri" w:hAnsi="Calibri" w:cs="Calibri"/>
                <w:b/>
                <w:sz w:val="18"/>
                <w:szCs w:val="18"/>
                <w:lang w:val="mk-MK"/>
              </w:rPr>
              <w:t>Реконструкција на локален пат од с. Здуње до с. Дебреше, и локалниот пат од с. Долна Бањица до с. Горна Бањица во Општина Гостивар</w:t>
            </w:r>
            <w:r w:rsidRPr="00AF3194">
              <w:rPr>
                <w:rFonts w:ascii="Calibri" w:eastAsia="Calibri" w:hAnsi="Calibri" w:cs="Calibri"/>
                <w:b/>
                <w:sz w:val="18"/>
                <w:szCs w:val="18"/>
              </w:rPr>
              <w:t>”</w:t>
            </w:r>
          </w:p>
          <w:p w14:paraId="5EA46663" w14:textId="77777777" w:rsidR="00165DD1" w:rsidRPr="0093395C" w:rsidRDefault="00165DD1" w:rsidP="0083032B">
            <w:pPr>
              <w:spacing w:after="0"/>
              <w:rPr>
                <w:rFonts w:ascii="Calibri" w:eastAsia="Calibri" w:hAnsi="Calibri" w:cs="Calibri"/>
                <w:b/>
                <w:sz w:val="18"/>
                <w:szCs w:val="18"/>
                <w:lang w:val="mk-MK"/>
              </w:rPr>
            </w:pPr>
            <w:r>
              <w:rPr>
                <w:rFonts w:ascii="Calibri" w:eastAsia="Calibri" w:hAnsi="Calibri" w:cs="Calibri"/>
                <w:b/>
                <w:sz w:val="18"/>
                <w:szCs w:val="18"/>
                <w:lang w:val="mk-MK"/>
              </w:rPr>
              <w:t>Опис на проектот</w:t>
            </w:r>
          </w:p>
          <w:p w14:paraId="63F8CBE3" w14:textId="77777777" w:rsidR="00165DD1" w:rsidRDefault="00165DD1" w:rsidP="0083032B">
            <w:pPr>
              <w:jc w:val="both"/>
              <w:rPr>
                <w:sz w:val="18"/>
                <w:szCs w:val="18"/>
                <w:lang w:val="mk-MK"/>
              </w:rPr>
            </w:pPr>
            <w:r>
              <w:rPr>
                <w:sz w:val="18"/>
                <w:szCs w:val="18"/>
                <w:lang w:val="mk-MK"/>
              </w:rPr>
              <w:t xml:space="preserve">Локалниот пат од с. Здуње до с. Дебреше ги поврзува двете населени места. Се наоѓа во рурално индустриско подрачје со производителни компании и магацини на двете страни од патот. На почетокот и крајот од улицата има куќи. Постоечкиот пат е асфалтиран но е во лоша состјба. </w:t>
            </w:r>
          </w:p>
          <w:p w14:paraId="5AB2C131" w14:textId="77777777" w:rsidR="00165DD1" w:rsidRDefault="00165DD1" w:rsidP="0083032B">
            <w:pPr>
              <w:jc w:val="both"/>
              <w:rPr>
                <w:sz w:val="18"/>
                <w:szCs w:val="18"/>
                <w:lang w:val="mk-MK"/>
              </w:rPr>
            </w:pPr>
            <w:r>
              <w:rPr>
                <w:sz w:val="18"/>
                <w:szCs w:val="18"/>
                <w:lang w:val="mk-MK"/>
              </w:rPr>
              <w:t xml:space="preserve">Локалниот пат од с. Долна Бањица до с. Горна Бањица е лоциран во рурално подрачје и дава пристап до куќи и обработливи земјишта – ниви. Ги поврзува двете населени места с. Долна Бањица и с. Горна Бањица. Постоечкиот пат е асфалтиран, но е во многу лоша состојба, со надолжни и попречни пукнатини и оштетување во форма на крокодилска кожа. </w:t>
            </w:r>
          </w:p>
          <w:p w14:paraId="16AA6D10" w14:textId="77777777" w:rsidR="00165DD1" w:rsidRPr="002A5DC8" w:rsidRDefault="00165DD1" w:rsidP="0083032B">
            <w:pPr>
              <w:jc w:val="both"/>
              <w:rPr>
                <w:sz w:val="18"/>
                <w:szCs w:val="18"/>
                <w:lang w:val="mk-MK"/>
              </w:rPr>
            </w:pPr>
            <w:r>
              <w:rPr>
                <w:sz w:val="18"/>
                <w:szCs w:val="18"/>
                <w:lang w:val="mk-MK"/>
              </w:rPr>
              <w:t xml:space="preserve">Реката Вардар тече на околу 500 метри јужно. Кога ќе започнат проектните активности, локалното население може да го користи постоечкиот пат кој проаѓа низ с. Млака. Проектните активности може да бидат проблематични за вработените од индустриската зона доколку не се изведе пристапен пат. </w:t>
            </w:r>
          </w:p>
          <w:p w14:paraId="2326C6BF" w14:textId="77777777" w:rsidR="00165DD1" w:rsidRPr="002A5DC8" w:rsidRDefault="00165DD1" w:rsidP="0083032B">
            <w:pPr>
              <w:spacing w:after="0"/>
              <w:jc w:val="both"/>
              <w:rPr>
                <w:rFonts w:ascii="Calibri" w:eastAsia="Calibri" w:hAnsi="Calibri" w:cs="Calibri"/>
                <w:b/>
                <w:sz w:val="18"/>
                <w:szCs w:val="18"/>
                <w:lang w:val="mk-MK"/>
              </w:rPr>
            </w:pPr>
            <w:r w:rsidRPr="002A5DC8">
              <w:rPr>
                <w:rFonts w:ascii="Calibri" w:eastAsia="Calibri" w:hAnsi="Calibri" w:cs="Calibri"/>
                <w:b/>
                <w:sz w:val="18"/>
                <w:szCs w:val="18"/>
                <w:lang w:val="mk-MK"/>
              </w:rPr>
              <w:t xml:space="preserve">Електронска верзија на Контролната листа на ПУЖССА за </w:t>
            </w:r>
            <w:r w:rsidRPr="00AF3194">
              <w:rPr>
                <w:rFonts w:ascii="Calibri" w:eastAsia="Calibri" w:hAnsi="Calibri" w:cs="Calibri"/>
                <w:b/>
                <w:sz w:val="18"/>
                <w:szCs w:val="18"/>
                <w:lang w:val="mk-MK"/>
              </w:rPr>
              <w:t>Реконструкција на локален пат од с. Здуње до с. Дебреше, и локалниот пат од с. Долна Бањица до с. Горна Бањица во Општина Гостивар</w:t>
            </w:r>
            <w:r w:rsidRPr="002A5DC8">
              <w:rPr>
                <w:rFonts w:ascii="Calibri" w:eastAsia="Calibri" w:hAnsi="Calibri" w:cs="Calibri"/>
                <w:b/>
                <w:sz w:val="18"/>
                <w:szCs w:val="18"/>
                <w:lang w:val="mk-MK"/>
              </w:rPr>
              <w:t xml:space="preserve"> е достапна на следниве веб-страни</w:t>
            </w:r>
            <w:r>
              <w:rPr>
                <w:rFonts w:ascii="Calibri" w:eastAsia="Calibri" w:hAnsi="Calibri" w:cs="Calibri"/>
                <w:b/>
                <w:sz w:val="18"/>
                <w:szCs w:val="18"/>
                <w:lang w:val="mk-MK"/>
              </w:rPr>
              <w:t>:</w:t>
            </w:r>
          </w:p>
          <w:p w14:paraId="21A34F40" w14:textId="77777777" w:rsidR="00165DD1" w:rsidRPr="00077EFC" w:rsidRDefault="00165DD1" w:rsidP="00165DD1">
            <w:pPr>
              <w:pStyle w:val="ListParagraph"/>
              <w:numPr>
                <w:ilvl w:val="0"/>
                <w:numId w:val="1"/>
              </w:numPr>
              <w:spacing w:after="0" w:line="276" w:lineRule="auto"/>
              <w:jc w:val="both"/>
              <w:rPr>
                <w:rFonts w:ascii="Calibri" w:eastAsia="Calibri" w:hAnsi="Calibri" w:cs="Calibri"/>
                <w:color w:val="0563C1" w:themeColor="hyperlink"/>
                <w:sz w:val="18"/>
                <w:szCs w:val="18"/>
                <w:u w:val="single"/>
              </w:rPr>
            </w:pPr>
            <w:r>
              <w:rPr>
                <w:rFonts w:ascii="Calibri" w:eastAsia="Calibri" w:hAnsi="Calibri" w:cs="Calibri"/>
                <w:sz w:val="18"/>
                <w:szCs w:val="18"/>
                <w:lang w:val="mk-MK"/>
              </w:rPr>
              <w:t>Општина Гостивар</w:t>
            </w:r>
            <w:r>
              <w:rPr>
                <w:rFonts w:ascii="Calibri" w:eastAsia="Calibri" w:hAnsi="Calibri" w:cs="Calibri"/>
                <w:sz w:val="18"/>
                <w:szCs w:val="18"/>
              </w:rPr>
              <w:t xml:space="preserve"> </w:t>
            </w:r>
            <w:hyperlink r:id="rId7" w:history="1">
              <w:r w:rsidRPr="00077EFC">
                <w:rPr>
                  <w:rStyle w:val="Hyperlink"/>
                  <w:rFonts w:ascii="Calibri" w:eastAsia="Calibri" w:hAnsi="Calibri" w:cs="Calibri"/>
                  <w:sz w:val="18"/>
                  <w:szCs w:val="18"/>
                </w:rPr>
                <w:t>http://gostivari.gov.mk/mk/pocetna/</w:t>
              </w:r>
            </w:hyperlink>
          </w:p>
          <w:p w14:paraId="11241721" w14:textId="77777777" w:rsidR="00165DD1" w:rsidRPr="00EF64FE" w:rsidRDefault="00165DD1" w:rsidP="00165DD1">
            <w:pPr>
              <w:pStyle w:val="ListParagraph"/>
              <w:numPr>
                <w:ilvl w:val="0"/>
                <w:numId w:val="1"/>
              </w:numPr>
              <w:spacing w:after="0" w:line="276" w:lineRule="auto"/>
              <w:jc w:val="both"/>
              <w:rPr>
                <w:rStyle w:val="Hyperlink"/>
                <w:rFonts w:ascii="Calibri" w:eastAsia="Calibri" w:hAnsi="Calibri" w:cs="Calibri"/>
                <w:sz w:val="18"/>
                <w:szCs w:val="18"/>
              </w:rPr>
            </w:pPr>
            <w:r>
              <w:rPr>
                <w:rFonts w:ascii="Calibri" w:eastAsia="Calibri" w:hAnsi="Calibri" w:cs="Calibri"/>
                <w:sz w:val="18"/>
                <w:szCs w:val="18"/>
                <w:lang w:val="mk-MK"/>
              </w:rPr>
              <w:t>МТВ</w:t>
            </w:r>
            <w:r w:rsidRPr="002A3568">
              <w:rPr>
                <w:rFonts w:ascii="Calibri" w:eastAsia="Calibri" w:hAnsi="Calibri" w:cs="Calibri"/>
                <w:sz w:val="18"/>
                <w:szCs w:val="18"/>
              </w:rPr>
              <w:t xml:space="preserve">: </w:t>
            </w:r>
            <w:hyperlink r:id="rId8" w:history="1">
              <w:r w:rsidRPr="002A3568">
                <w:rPr>
                  <w:rStyle w:val="Hyperlink"/>
                  <w:rFonts w:ascii="Calibri" w:eastAsia="Calibri" w:hAnsi="Calibri" w:cs="Calibri"/>
                  <w:sz w:val="18"/>
                  <w:szCs w:val="18"/>
                </w:rPr>
                <w:t>http://mtc.gov.mk/</w:t>
              </w:r>
            </w:hyperlink>
          </w:p>
          <w:p w14:paraId="30980E67" w14:textId="657B1E2C" w:rsidR="00165DD1" w:rsidRPr="002A3568" w:rsidRDefault="00165DD1" w:rsidP="00165DD1">
            <w:pPr>
              <w:pStyle w:val="ListParagraph"/>
              <w:numPr>
                <w:ilvl w:val="0"/>
                <w:numId w:val="1"/>
              </w:numPr>
              <w:spacing w:after="0" w:line="276" w:lineRule="auto"/>
              <w:jc w:val="both"/>
              <w:rPr>
                <w:rFonts w:ascii="Calibri" w:eastAsia="Calibri" w:hAnsi="Calibri" w:cs="Calibri"/>
                <w:sz w:val="18"/>
                <w:szCs w:val="18"/>
              </w:rPr>
            </w:pPr>
            <w:r>
              <w:rPr>
                <w:rFonts w:ascii="Calibri" w:eastAsia="Calibri" w:hAnsi="Calibri" w:cs="Calibri"/>
                <w:sz w:val="18"/>
                <w:szCs w:val="18"/>
                <w:lang w:val="mk-MK"/>
              </w:rPr>
              <w:t>Е</w:t>
            </w:r>
            <w:r>
              <w:rPr>
                <w:rFonts w:ascii="Calibri" w:eastAsia="Calibri" w:hAnsi="Calibri" w:cs="Calibri"/>
                <w:sz w:val="18"/>
                <w:szCs w:val="18"/>
                <w:lang w:val="mk-MK"/>
              </w:rPr>
              <w:t>И</w:t>
            </w:r>
            <w:r>
              <w:rPr>
                <w:rFonts w:ascii="Calibri" w:eastAsia="Calibri" w:hAnsi="Calibri" w:cs="Calibri"/>
                <w:sz w:val="18"/>
                <w:szCs w:val="18"/>
                <w:lang w:val="mk-MK"/>
              </w:rPr>
              <w:t>П</w:t>
            </w:r>
            <w:r>
              <w:rPr>
                <w:rFonts w:ascii="Calibri" w:eastAsia="Calibri" w:hAnsi="Calibri" w:cs="Calibri"/>
                <w:sz w:val="18"/>
                <w:szCs w:val="18"/>
              </w:rPr>
              <w:t xml:space="preserve">:    </w:t>
            </w:r>
            <w:hyperlink r:id="rId9" w:history="1">
              <w:r w:rsidRPr="00D61497">
                <w:rPr>
                  <w:rStyle w:val="Hyperlink"/>
                  <w:rFonts w:ascii="Calibri" w:eastAsia="Calibri" w:hAnsi="Calibri" w:cs="Calibri"/>
                  <w:sz w:val="18"/>
                  <w:szCs w:val="18"/>
                </w:rPr>
                <w:t>www.wbprojects-mtc.mk</w:t>
              </w:r>
            </w:hyperlink>
          </w:p>
          <w:p w14:paraId="546D4ED9" w14:textId="77777777" w:rsidR="00165DD1" w:rsidRPr="002A3568" w:rsidRDefault="00165DD1" w:rsidP="0083032B">
            <w:pPr>
              <w:shd w:val="clear" w:color="auto" w:fill="FFFFFF" w:themeFill="background1"/>
              <w:spacing w:after="0"/>
              <w:jc w:val="center"/>
              <w:rPr>
                <w:rFonts w:ascii="Calibri" w:eastAsia="Calibri" w:hAnsi="Calibri" w:cs="Calibri"/>
                <w:b/>
                <w:sz w:val="18"/>
                <w:szCs w:val="18"/>
                <w:lang w:val="en-GB"/>
              </w:rPr>
            </w:pPr>
          </w:p>
        </w:tc>
      </w:tr>
      <w:tr w:rsidR="00165DD1" w:rsidRPr="002A3568" w14:paraId="6BAA2CCE" w14:textId="77777777" w:rsidTr="0083032B">
        <w:trPr>
          <w:trHeight w:val="736"/>
          <w:jc w:val="center"/>
        </w:trPr>
        <w:tc>
          <w:tcPr>
            <w:tcW w:w="2578" w:type="dxa"/>
            <w:shd w:val="clear" w:color="auto" w:fill="F2F2F2"/>
          </w:tcPr>
          <w:p w14:paraId="65097BA3" w14:textId="77777777" w:rsidR="00165DD1" w:rsidRPr="0012568D" w:rsidRDefault="00165DD1" w:rsidP="0083032B">
            <w:pPr>
              <w:spacing w:after="0"/>
              <w:rPr>
                <w:rFonts w:eastAsia="Calibri" w:cs="Calibri Light"/>
                <w:b/>
                <w:sz w:val="18"/>
                <w:szCs w:val="18"/>
                <w:lang w:val="mk-MK"/>
              </w:rPr>
            </w:pPr>
            <w:r w:rsidRPr="0012568D">
              <w:rPr>
                <w:rFonts w:eastAsia="Calibri" w:cs="Calibri Light"/>
                <w:b/>
                <w:sz w:val="18"/>
                <w:szCs w:val="18"/>
                <w:lang w:val="mk-MK"/>
              </w:rPr>
              <w:t>Име и презиме на лицето кое дава коментар *</w:t>
            </w:r>
          </w:p>
          <w:p w14:paraId="37D90B7C" w14:textId="77777777" w:rsidR="00165DD1" w:rsidRPr="002A3568" w:rsidRDefault="00165DD1" w:rsidP="0083032B">
            <w:pPr>
              <w:spacing w:after="0"/>
              <w:rPr>
                <w:rFonts w:ascii="Calibri" w:eastAsia="Calibri" w:hAnsi="Calibri" w:cs="Calibri"/>
                <w:b/>
                <w:sz w:val="18"/>
                <w:szCs w:val="18"/>
                <w:lang w:val="en-GB"/>
              </w:rPr>
            </w:pPr>
          </w:p>
        </w:tc>
        <w:tc>
          <w:tcPr>
            <w:tcW w:w="6439" w:type="dxa"/>
            <w:gridSpan w:val="2"/>
            <w:shd w:val="clear" w:color="auto" w:fill="F2F2F2"/>
          </w:tcPr>
          <w:p w14:paraId="1C9A6F3D" w14:textId="77777777" w:rsidR="00165DD1" w:rsidRPr="002A3568" w:rsidRDefault="00165DD1" w:rsidP="0083032B">
            <w:pPr>
              <w:spacing w:after="0"/>
              <w:rPr>
                <w:rFonts w:ascii="Calibri" w:eastAsia="Calibri" w:hAnsi="Calibri" w:cs="Calibri"/>
                <w:sz w:val="18"/>
                <w:szCs w:val="18"/>
                <w:lang w:val="en-GB"/>
              </w:rPr>
            </w:pPr>
          </w:p>
        </w:tc>
      </w:tr>
      <w:tr w:rsidR="00165DD1" w:rsidRPr="002A3568" w14:paraId="1F912534" w14:textId="77777777" w:rsidTr="0083032B">
        <w:trPr>
          <w:trHeight w:val="1134"/>
          <w:jc w:val="center"/>
        </w:trPr>
        <w:tc>
          <w:tcPr>
            <w:tcW w:w="2578" w:type="dxa"/>
            <w:shd w:val="clear" w:color="auto" w:fill="F2F2F2"/>
          </w:tcPr>
          <w:p w14:paraId="7A85DD22" w14:textId="77777777" w:rsidR="00165DD1" w:rsidRPr="0012568D" w:rsidRDefault="00165DD1" w:rsidP="0083032B">
            <w:pPr>
              <w:spacing w:after="0"/>
              <w:rPr>
                <w:rFonts w:eastAsia="Calibri" w:cs="Calibri Light"/>
                <w:b/>
                <w:sz w:val="18"/>
                <w:szCs w:val="18"/>
                <w:lang w:val="mk-MK"/>
              </w:rPr>
            </w:pPr>
            <w:r w:rsidRPr="0012568D">
              <w:rPr>
                <w:rFonts w:eastAsia="Calibri" w:cs="Calibri Light"/>
                <w:b/>
                <w:sz w:val="18"/>
                <w:szCs w:val="18"/>
                <w:lang w:val="mk-MK"/>
              </w:rPr>
              <w:t>Контакт информации*</w:t>
            </w:r>
          </w:p>
          <w:p w14:paraId="7C815CC1" w14:textId="77777777" w:rsidR="00165DD1" w:rsidRPr="002A3568" w:rsidRDefault="00165DD1" w:rsidP="0083032B">
            <w:pPr>
              <w:spacing w:after="0"/>
              <w:rPr>
                <w:rFonts w:ascii="Calibri" w:eastAsia="Calibri" w:hAnsi="Calibri" w:cs="Calibri"/>
                <w:sz w:val="18"/>
                <w:szCs w:val="18"/>
                <w:lang w:val="en-GB"/>
              </w:rPr>
            </w:pPr>
          </w:p>
          <w:p w14:paraId="09D05E9D" w14:textId="77777777" w:rsidR="00165DD1" w:rsidRPr="002A3568" w:rsidRDefault="00165DD1" w:rsidP="0083032B">
            <w:pPr>
              <w:spacing w:after="0"/>
              <w:rPr>
                <w:rFonts w:ascii="Calibri" w:eastAsia="Calibri" w:hAnsi="Calibri" w:cs="Calibri"/>
                <w:sz w:val="18"/>
                <w:szCs w:val="18"/>
                <w:lang w:val="en-GB"/>
              </w:rPr>
            </w:pPr>
          </w:p>
        </w:tc>
        <w:tc>
          <w:tcPr>
            <w:tcW w:w="6439" w:type="dxa"/>
            <w:gridSpan w:val="2"/>
            <w:shd w:val="clear" w:color="auto" w:fill="F2F2F2"/>
          </w:tcPr>
          <w:p w14:paraId="19CA6250" w14:textId="77777777" w:rsidR="00165DD1" w:rsidRPr="002A3568" w:rsidRDefault="00165DD1" w:rsidP="0083032B">
            <w:pPr>
              <w:spacing w:after="0"/>
              <w:rPr>
                <w:rFonts w:ascii="Calibri" w:eastAsia="Calibri" w:hAnsi="Calibri" w:cs="Calibri"/>
                <w:b/>
                <w:sz w:val="18"/>
                <w:szCs w:val="18"/>
                <w:lang w:val="en-GB"/>
              </w:rPr>
            </w:pPr>
            <w:r w:rsidRPr="0012568D">
              <w:rPr>
                <w:rFonts w:eastAsia="Calibri" w:cs="Calibri Light"/>
                <w:b/>
                <w:sz w:val="18"/>
                <w:szCs w:val="18"/>
                <w:lang w:val="mk-MK"/>
              </w:rPr>
              <w:t>Е-пошта</w:t>
            </w:r>
            <w:r w:rsidRPr="002A3568">
              <w:rPr>
                <w:rFonts w:ascii="Calibri" w:eastAsia="Calibri" w:hAnsi="Calibri" w:cs="Calibri"/>
                <w:b/>
                <w:sz w:val="18"/>
                <w:szCs w:val="18"/>
                <w:lang w:val="en-GB"/>
              </w:rPr>
              <w:t>:</w:t>
            </w:r>
          </w:p>
          <w:p w14:paraId="042A5029" w14:textId="77777777" w:rsidR="00165DD1" w:rsidRPr="002A3568" w:rsidRDefault="00165DD1" w:rsidP="0083032B">
            <w:pPr>
              <w:spacing w:after="0"/>
              <w:rPr>
                <w:rFonts w:ascii="Calibri" w:eastAsia="Calibri" w:hAnsi="Calibri" w:cs="Calibri"/>
                <w:b/>
                <w:sz w:val="18"/>
                <w:szCs w:val="18"/>
                <w:lang w:val="en-GB"/>
              </w:rPr>
            </w:pPr>
          </w:p>
          <w:p w14:paraId="6651F81A" w14:textId="77777777" w:rsidR="00165DD1" w:rsidRPr="002A3568" w:rsidRDefault="00165DD1" w:rsidP="0083032B">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______________________________</w:t>
            </w:r>
          </w:p>
          <w:p w14:paraId="71A7FB06" w14:textId="77777777" w:rsidR="00165DD1" w:rsidRPr="002A3568" w:rsidRDefault="00165DD1" w:rsidP="0083032B">
            <w:pPr>
              <w:spacing w:after="0"/>
              <w:rPr>
                <w:rFonts w:ascii="Calibri" w:eastAsia="Calibri" w:hAnsi="Calibri" w:cs="Calibri"/>
                <w:b/>
                <w:sz w:val="18"/>
                <w:szCs w:val="18"/>
                <w:lang w:val="en-GB"/>
              </w:rPr>
            </w:pPr>
          </w:p>
          <w:p w14:paraId="5455FF81" w14:textId="77777777" w:rsidR="00165DD1" w:rsidRPr="002A3568" w:rsidRDefault="00165DD1" w:rsidP="0083032B">
            <w:pPr>
              <w:spacing w:after="0"/>
              <w:rPr>
                <w:rFonts w:ascii="Calibri" w:eastAsia="Calibri" w:hAnsi="Calibri" w:cs="Calibri"/>
                <w:b/>
                <w:sz w:val="18"/>
                <w:szCs w:val="18"/>
                <w:lang w:val="en-GB"/>
              </w:rPr>
            </w:pPr>
            <w:r w:rsidRPr="0012568D">
              <w:rPr>
                <w:rFonts w:eastAsia="Calibri" w:cs="Calibri Light"/>
                <w:b/>
                <w:sz w:val="18"/>
                <w:szCs w:val="18"/>
                <w:lang w:val="mk-MK"/>
              </w:rPr>
              <w:t>тел</w:t>
            </w:r>
            <w:r w:rsidRPr="002A3568">
              <w:rPr>
                <w:rFonts w:ascii="Calibri" w:eastAsia="Calibri" w:hAnsi="Calibri" w:cs="Calibri"/>
                <w:b/>
                <w:sz w:val="18"/>
                <w:szCs w:val="18"/>
                <w:lang w:val="en-GB"/>
              </w:rPr>
              <w:t>:</w:t>
            </w:r>
          </w:p>
          <w:p w14:paraId="0237C81E" w14:textId="77777777" w:rsidR="00165DD1" w:rsidRPr="002A3568" w:rsidRDefault="00165DD1" w:rsidP="0083032B">
            <w:pPr>
              <w:spacing w:after="0"/>
              <w:rPr>
                <w:rFonts w:ascii="Calibri" w:eastAsia="Calibri" w:hAnsi="Calibri" w:cs="Calibri"/>
                <w:b/>
                <w:sz w:val="18"/>
                <w:szCs w:val="18"/>
                <w:lang w:val="en-GB"/>
              </w:rPr>
            </w:pPr>
          </w:p>
          <w:p w14:paraId="3104C89E" w14:textId="77777777" w:rsidR="00165DD1" w:rsidRPr="002A3568" w:rsidRDefault="00165DD1" w:rsidP="0083032B">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______________________________</w:t>
            </w:r>
          </w:p>
        </w:tc>
      </w:tr>
      <w:tr w:rsidR="00165DD1" w:rsidRPr="002A3568" w14:paraId="5B46BD4B" w14:textId="77777777" w:rsidTr="0083032B">
        <w:trPr>
          <w:trHeight w:val="661"/>
          <w:jc w:val="center"/>
        </w:trPr>
        <w:tc>
          <w:tcPr>
            <w:tcW w:w="9017" w:type="dxa"/>
            <w:gridSpan w:val="3"/>
            <w:shd w:val="clear" w:color="auto" w:fill="F2F2F2"/>
          </w:tcPr>
          <w:p w14:paraId="1E4CF12B" w14:textId="77777777" w:rsidR="00165DD1" w:rsidRPr="0012568D" w:rsidRDefault="00165DD1" w:rsidP="0083032B">
            <w:pPr>
              <w:spacing w:after="0"/>
              <w:rPr>
                <w:rFonts w:eastAsia="Calibri" w:cs="Calibri Light"/>
                <w:b/>
                <w:color w:val="000000"/>
                <w:sz w:val="18"/>
                <w:szCs w:val="18"/>
                <w:lang w:val="mk-MK"/>
              </w:rPr>
            </w:pPr>
            <w:r w:rsidRPr="0012568D">
              <w:rPr>
                <w:rFonts w:eastAsia="Calibri" w:cs="Calibri Light"/>
                <w:b/>
                <w:sz w:val="18"/>
                <w:szCs w:val="18"/>
                <w:lang w:val="mk-MK"/>
              </w:rPr>
              <w:t>Коментари во врска со Контролната листа на ПУЖССА</w:t>
            </w:r>
            <w:r w:rsidRPr="0012568D">
              <w:rPr>
                <w:rFonts w:eastAsia="Calibri" w:cs="Calibri Light"/>
                <w:b/>
                <w:color w:val="000000"/>
                <w:sz w:val="18"/>
                <w:szCs w:val="18"/>
                <w:lang w:val="mk-MK"/>
              </w:rPr>
              <w:t>:</w:t>
            </w:r>
          </w:p>
          <w:p w14:paraId="08CCB7B8" w14:textId="77777777" w:rsidR="00165DD1" w:rsidRPr="002A3568" w:rsidRDefault="00165DD1" w:rsidP="0083032B">
            <w:pPr>
              <w:spacing w:after="0"/>
              <w:rPr>
                <w:rFonts w:ascii="Calibri" w:eastAsia="Calibri" w:hAnsi="Calibri" w:cs="Calibri"/>
                <w:b/>
                <w:color w:val="000000"/>
                <w:sz w:val="18"/>
                <w:szCs w:val="18"/>
                <w:lang w:val="en-GB"/>
              </w:rPr>
            </w:pPr>
          </w:p>
          <w:p w14:paraId="30B0D10E" w14:textId="77777777" w:rsidR="00165DD1" w:rsidRPr="002A3568" w:rsidRDefault="00165DD1" w:rsidP="0083032B">
            <w:pPr>
              <w:spacing w:after="0"/>
              <w:rPr>
                <w:rFonts w:ascii="Calibri" w:eastAsia="Calibri" w:hAnsi="Calibri" w:cs="Calibri"/>
                <w:color w:val="000000"/>
                <w:sz w:val="18"/>
                <w:szCs w:val="18"/>
                <w:lang w:val="en-GB"/>
              </w:rPr>
            </w:pPr>
          </w:p>
          <w:p w14:paraId="0A50DD4E" w14:textId="77777777" w:rsidR="00165DD1" w:rsidRPr="002A3568" w:rsidRDefault="00165DD1" w:rsidP="0083032B">
            <w:pPr>
              <w:spacing w:after="0"/>
              <w:rPr>
                <w:rFonts w:ascii="Calibri" w:eastAsia="Calibri" w:hAnsi="Calibri" w:cs="Calibri"/>
                <w:color w:val="000000"/>
                <w:sz w:val="18"/>
                <w:szCs w:val="18"/>
                <w:lang w:val="en-GB"/>
              </w:rPr>
            </w:pPr>
          </w:p>
        </w:tc>
      </w:tr>
      <w:tr w:rsidR="00165DD1" w:rsidRPr="002A3568" w14:paraId="5F89258D" w14:textId="77777777" w:rsidTr="0083032B">
        <w:trPr>
          <w:trHeight w:val="912"/>
          <w:jc w:val="center"/>
        </w:trPr>
        <w:tc>
          <w:tcPr>
            <w:tcW w:w="4384" w:type="dxa"/>
            <w:gridSpan w:val="2"/>
            <w:shd w:val="clear" w:color="auto" w:fill="F2F2F2"/>
          </w:tcPr>
          <w:p w14:paraId="43D8DCC8" w14:textId="77777777" w:rsidR="00165DD1" w:rsidRPr="0012568D" w:rsidRDefault="00165DD1" w:rsidP="0083032B">
            <w:pPr>
              <w:spacing w:after="0"/>
              <w:rPr>
                <w:rFonts w:eastAsia="Calibri" w:cs="Calibri Light"/>
                <w:b/>
                <w:sz w:val="18"/>
                <w:szCs w:val="18"/>
                <w:lang w:val="mk-MK"/>
              </w:rPr>
            </w:pPr>
            <w:r w:rsidRPr="0012568D">
              <w:rPr>
                <w:rFonts w:eastAsia="Calibri" w:cs="Calibri Light"/>
                <w:b/>
                <w:sz w:val="18"/>
                <w:szCs w:val="18"/>
                <w:lang w:val="mk-MK"/>
              </w:rPr>
              <w:t>Потпис</w:t>
            </w:r>
          </w:p>
          <w:p w14:paraId="719ACC21" w14:textId="77777777" w:rsidR="00165DD1" w:rsidRPr="002A3568" w:rsidRDefault="00165DD1" w:rsidP="0083032B">
            <w:pPr>
              <w:spacing w:after="0"/>
              <w:rPr>
                <w:rFonts w:ascii="Calibri" w:eastAsia="Calibri" w:hAnsi="Calibri" w:cs="Calibri"/>
                <w:sz w:val="18"/>
                <w:szCs w:val="18"/>
                <w:lang w:val="en-GB"/>
              </w:rPr>
            </w:pPr>
          </w:p>
          <w:p w14:paraId="5A960845" w14:textId="77777777" w:rsidR="00165DD1" w:rsidRPr="002A3568" w:rsidRDefault="00165DD1" w:rsidP="0083032B">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______________________</w:t>
            </w:r>
          </w:p>
        </w:tc>
        <w:tc>
          <w:tcPr>
            <w:tcW w:w="4633" w:type="dxa"/>
            <w:shd w:val="clear" w:color="auto" w:fill="F2F2F2"/>
          </w:tcPr>
          <w:p w14:paraId="48C829B0" w14:textId="77777777" w:rsidR="00165DD1" w:rsidRPr="0012568D" w:rsidRDefault="00165DD1" w:rsidP="0083032B">
            <w:pPr>
              <w:spacing w:after="0"/>
              <w:rPr>
                <w:rFonts w:eastAsia="Calibri" w:cs="Calibri Light"/>
                <w:b/>
                <w:sz w:val="18"/>
                <w:szCs w:val="18"/>
                <w:lang w:val="mk-MK"/>
              </w:rPr>
            </w:pPr>
            <w:r w:rsidRPr="0012568D">
              <w:rPr>
                <w:rFonts w:eastAsia="Calibri" w:cs="Calibri Light"/>
                <w:b/>
                <w:sz w:val="18"/>
                <w:szCs w:val="18"/>
                <w:lang w:val="mk-MK"/>
              </w:rPr>
              <w:t>Дата</w:t>
            </w:r>
          </w:p>
          <w:p w14:paraId="41F430FC" w14:textId="77777777" w:rsidR="00165DD1" w:rsidRPr="002A3568" w:rsidRDefault="00165DD1" w:rsidP="0083032B">
            <w:pPr>
              <w:spacing w:after="0"/>
              <w:rPr>
                <w:rFonts w:ascii="Calibri" w:eastAsia="Calibri" w:hAnsi="Calibri" w:cs="Calibri"/>
                <w:sz w:val="18"/>
                <w:szCs w:val="18"/>
                <w:lang w:val="en-GB"/>
              </w:rPr>
            </w:pPr>
          </w:p>
          <w:p w14:paraId="50080A8A" w14:textId="77777777" w:rsidR="00165DD1" w:rsidRPr="002A3568" w:rsidRDefault="00165DD1" w:rsidP="0083032B">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w:t>
            </w:r>
          </w:p>
        </w:tc>
      </w:tr>
      <w:tr w:rsidR="00165DD1" w:rsidRPr="002A3568" w14:paraId="4EE72873" w14:textId="77777777" w:rsidTr="0083032B">
        <w:trPr>
          <w:trHeight w:val="912"/>
          <w:jc w:val="center"/>
        </w:trPr>
        <w:tc>
          <w:tcPr>
            <w:tcW w:w="9017" w:type="dxa"/>
            <w:gridSpan w:val="3"/>
            <w:shd w:val="clear" w:color="auto" w:fill="F2F2F2"/>
          </w:tcPr>
          <w:p w14:paraId="2B726EC3" w14:textId="77777777" w:rsidR="00165DD1" w:rsidRPr="00B85592" w:rsidRDefault="00165DD1" w:rsidP="0083032B">
            <w:pPr>
              <w:shd w:val="clear" w:color="auto" w:fill="E2EFD9" w:themeFill="accent6" w:themeFillTint="33"/>
              <w:spacing w:after="0"/>
              <w:rPr>
                <w:rFonts w:eastAsia="Calibri" w:cs="Calibri Light"/>
                <w:b/>
                <w:sz w:val="18"/>
                <w:szCs w:val="18"/>
                <w:lang w:val="mk-MK"/>
              </w:rPr>
            </w:pPr>
            <w:r w:rsidRPr="00B85592">
              <w:rPr>
                <w:rFonts w:eastAsia="Calibri" w:cs="Calibri Light"/>
                <w:b/>
                <w:sz w:val="18"/>
                <w:szCs w:val="18"/>
                <w:lang w:val="mk-MK"/>
              </w:rPr>
              <w:t xml:space="preserve">Ако имате какви било коментари / предлози или дополнувања за предложените мерки на Контролната листа на ПУЖССА за </w:t>
            </w:r>
            <w:r w:rsidRPr="00B85592">
              <w:rPr>
                <w:i/>
                <w:iCs/>
                <w:sz w:val="18"/>
                <w:szCs w:val="18"/>
                <w:lang w:val="mk-MK"/>
              </w:rPr>
              <w:t xml:space="preserve"> </w:t>
            </w:r>
            <w:r w:rsidRPr="00AF3194">
              <w:rPr>
                <w:rFonts w:ascii="Calibri" w:eastAsia="Calibri" w:hAnsi="Calibri" w:cs="Calibri"/>
                <w:b/>
                <w:sz w:val="18"/>
                <w:szCs w:val="18"/>
                <w:lang w:val="mk-MK"/>
              </w:rPr>
              <w:t>Реконструкција на локален пат од с. Здуње до с. Дебреше, и локалниот пат од с. Долна Бањица до с. Горна Бањица во Општина Гостивар</w:t>
            </w:r>
            <w:r w:rsidRPr="00B85592">
              <w:rPr>
                <w:rFonts w:ascii="Calibri" w:eastAsia="Calibri" w:hAnsi="Calibri" w:cs="Calibri"/>
                <w:b/>
                <w:sz w:val="18"/>
                <w:szCs w:val="18"/>
              </w:rPr>
              <w:t xml:space="preserve">, </w:t>
            </w:r>
            <w:r w:rsidRPr="00B85592">
              <w:rPr>
                <w:rFonts w:eastAsia="Calibri" w:cs="Calibri Light"/>
                <w:b/>
                <w:sz w:val="18"/>
                <w:szCs w:val="18"/>
                <w:lang w:val="mk-MK"/>
              </w:rPr>
              <w:t>ве молиме доставете ги на одговорното лице од следната институција:</w:t>
            </w:r>
          </w:p>
          <w:p w14:paraId="600FEED4" w14:textId="49B6211B" w:rsidR="00165DD1" w:rsidRPr="00B85592" w:rsidRDefault="00165DD1" w:rsidP="0083032B">
            <w:pPr>
              <w:shd w:val="clear" w:color="auto" w:fill="E2EFD9" w:themeFill="accent6" w:themeFillTint="33"/>
              <w:spacing w:after="0"/>
              <w:rPr>
                <w:rFonts w:eastAsia="Calibri" w:cs="Calibri Light"/>
                <w:b/>
                <w:sz w:val="18"/>
                <w:szCs w:val="18"/>
                <w:lang w:val="mk-MK"/>
              </w:rPr>
            </w:pPr>
            <w:r w:rsidRPr="00B85592">
              <w:rPr>
                <w:rFonts w:ascii="Calibri" w:eastAsia="Calibri" w:hAnsi="Calibri" w:cs="Calibri"/>
                <w:b/>
                <w:sz w:val="18"/>
                <w:szCs w:val="18"/>
                <w:lang w:val="en-GB"/>
              </w:rPr>
              <w:t xml:space="preserve">                                                        </w:t>
            </w:r>
            <w:r w:rsidRPr="00B85592">
              <w:rPr>
                <w:rFonts w:eastAsia="Calibri" w:cs="Calibri Light"/>
                <w:b/>
                <w:sz w:val="18"/>
                <w:szCs w:val="18"/>
                <w:lang w:val="mk-MK"/>
              </w:rPr>
              <w:t>Контакт лице: Сашка Богданова Ај</w:t>
            </w:r>
            <w:r>
              <w:rPr>
                <w:rFonts w:eastAsia="Calibri" w:cs="Calibri Light"/>
                <w:b/>
                <w:sz w:val="18"/>
                <w:szCs w:val="18"/>
                <w:lang w:val="mk-MK"/>
              </w:rPr>
              <w:t>ц</w:t>
            </w:r>
            <w:r w:rsidRPr="00B85592">
              <w:rPr>
                <w:rFonts w:eastAsia="Calibri" w:cs="Calibri Light"/>
                <w:b/>
                <w:sz w:val="18"/>
                <w:szCs w:val="18"/>
                <w:lang w:val="mk-MK"/>
              </w:rPr>
              <w:t>ева</w:t>
            </w:r>
          </w:p>
          <w:p w14:paraId="5E4A1980" w14:textId="78E3C985" w:rsidR="00165DD1" w:rsidRPr="00B85592" w:rsidRDefault="00165DD1" w:rsidP="0083032B">
            <w:pPr>
              <w:shd w:val="clear" w:color="auto" w:fill="E2EFD9" w:themeFill="accent6" w:themeFillTint="33"/>
              <w:spacing w:after="0"/>
              <w:rPr>
                <w:rFonts w:ascii="Calibri" w:eastAsia="Calibri" w:hAnsi="Calibri" w:cs="Calibri"/>
                <w:b/>
                <w:sz w:val="18"/>
                <w:szCs w:val="18"/>
                <w:lang w:val="en-GB"/>
              </w:rPr>
            </w:pPr>
            <w:r w:rsidRPr="00B85592">
              <w:rPr>
                <w:rFonts w:ascii="Calibri" w:eastAsia="Calibri" w:hAnsi="Calibri" w:cs="Calibri"/>
                <w:b/>
                <w:sz w:val="18"/>
                <w:szCs w:val="18"/>
                <w:lang w:val="en-GB"/>
              </w:rPr>
              <w:t xml:space="preserve">                                                        </w:t>
            </w:r>
            <w:r w:rsidRPr="00B85592">
              <w:rPr>
                <w:rFonts w:eastAsia="Calibri" w:cs="Calibri Light"/>
                <w:b/>
                <w:sz w:val="18"/>
                <w:szCs w:val="18"/>
                <w:lang w:val="mk-MK"/>
              </w:rPr>
              <w:t>Е-пошта</w:t>
            </w:r>
            <w:r w:rsidRPr="00B85592">
              <w:rPr>
                <w:rFonts w:ascii="Calibri" w:eastAsia="Calibri" w:hAnsi="Calibri" w:cs="Calibri"/>
                <w:b/>
                <w:sz w:val="18"/>
                <w:szCs w:val="18"/>
                <w:lang w:val="en-GB"/>
              </w:rPr>
              <w:t xml:space="preserve">:          </w:t>
            </w:r>
            <w:hyperlink r:id="rId10" w:history="1">
              <w:r w:rsidRPr="00B85592">
                <w:rPr>
                  <w:rStyle w:val="Hyperlink"/>
                  <w:rFonts w:ascii="Calibri" w:eastAsia="Calibri" w:hAnsi="Calibri" w:cs="Calibri"/>
                  <w:b/>
                  <w:sz w:val="18"/>
                  <w:szCs w:val="18"/>
                  <w:lang w:val="en-GB"/>
                </w:rPr>
                <w:t>saska.bogdanova.ajceva.piu@mtc.gov.mk</w:t>
              </w:r>
            </w:hyperlink>
            <w:r w:rsidRPr="00B85592">
              <w:rPr>
                <w:rFonts w:ascii="Calibri" w:eastAsia="Calibri" w:hAnsi="Calibri" w:cs="Calibri"/>
                <w:b/>
                <w:sz w:val="18"/>
                <w:szCs w:val="18"/>
                <w:lang w:val="en-GB"/>
              </w:rPr>
              <w:t xml:space="preserve">    </w:t>
            </w:r>
          </w:p>
          <w:p w14:paraId="5BC11F36" w14:textId="77777777" w:rsidR="00165DD1" w:rsidRPr="00B85592" w:rsidRDefault="00165DD1" w:rsidP="0083032B">
            <w:pPr>
              <w:spacing w:after="0"/>
              <w:rPr>
                <w:rFonts w:ascii="Calibri" w:eastAsia="Calibri" w:hAnsi="Calibri" w:cs="Calibri"/>
                <w:b/>
                <w:i/>
                <w:iCs/>
                <w:sz w:val="18"/>
                <w:szCs w:val="18"/>
              </w:rPr>
            </w:pPr>
            <w:r w:rsidRPr="00B85592">
              <w:rPr>
                <w:rFonts w:eastAsia="Calibri" w:cs="Calibri Light"/>
                <w:b/>
                <w:sz w:val="18"/>
                <w:szCs w:val="18"/>
                <w:lang w:val="mk-MK"/>
              </w:rPr>
              <w:t xml:space="preserve">Во рок од 14 дена по објавувањето на Контролната листа на ПУЖССА за </w:t>
            </w:r>
            <w:r w:rsidRPr="00AF3194">
              <w:rPr>
                <w:rFonts w:ascii="Calibri" w:eastAsia="Calibri" w:hAnsi="Calibri" w:cs="Calibri"/>
                <w:b/>
                <w:sz w:val="18"/>
                <w:szCs w:val="18"/>
                <w:lang w:val="mk-MK"/>
              </w:rPr>
              <w:t>Реконструкција на локален пат од с. Здуње до с. Дебреше, и локалниот пат од с. Долна Бањица до с. Горна Бањица во Општина Гостивар</w:t>
            </w:r>
          </w:p>
          <w:p w14:paraId="1AD7410C" w14:textId="77777777" w:rsidR="00165DD1" w:rsidRPr="002A3568" w:rsidRDefault="00165DD1" w:rsidP="0083032B">
            <w:pPr>
              <w:spacing w:after="0"/>
              <w:rPr>
                <w:rFonts w:ascii="Calibri" w:eastAsia="Calibri" w:hAnsi="Calibri" w:cs="Calibri"/>
                <w:b/>
                <w:sz w:val="18"/>
                <w:szCs w:val="18"/>
                <w:lang w:val="en-GB"/>
              </w:rPr>
            </w:pPr>
            <w:r w:rsidRPr="00B85592">
              <w:rPr>
                <w:rFonts w:ascii="Calibri" w:eastAsia="Calibri" w:hAnsi="Calibri" w:cs="Calibri"/>
                <w:b/>
                <w:sz w:val="18"/>
                <w:szCs w:val="18"/>
                <w:lang w:val="en-GB"/>
              </w:rPr>
              <w:t>(</w:t>
            </w:r>
            <w:r w:rsidRPr="00B85592">
              <w:rPr>
                <w:rFonts w:eastAsia="Calibri" w:cs="Calibri Light"/>
                <w:b/>
                <w:sz w:val="18"/>
                <w:szCs w:val="18"/>
                <w:lang w:val="mk-MK"/>
              </w:rPr>
              <w:t>датум на објава</w:t>
            </w:r>
            <w:r w:rsidRPr="00B85592">
              <w:rPr>
                <w:rFonts w:ascii="Calibri" w:eastAsia="Calibri" w:hAnsi="Calibri" w:cs="Calibri"/>
                <w:b/>
                <w:sz w:val="18"/>
                <w:szCs w:val="18"/>
                <w:lang w:val="en-GB"/>
              </w:rPr>
              <w:t>: …….)</w:t>
            </w:r>
          </w:p>
        </w:tc>
      </w:tr>
      <w:tr w:rsidR="00165DD1" w:rsidRPr="002A3568" w14:paraId="20BF599B" w14:textId="77777777" w:rsidTr="0083032B">
        <w:trPr>
          <w:trHeight w:val="666"/>
          <w:jc w:val="center"/>
        </w:trPr>
        <w:tc>
          <w:tcPr>
            <w:tcW w:w="9017" w:type="dxa"/>
            <w:gridSpan w:val="3"/>
            <w:shd w:val="clear" w:color="auto" w:fill="F2F2F2"/>
          </w:tcPr>
          <w:p w14:paraId="15079B5F" w14:textId="77777777" w:rsidR="00165DD1" w:rsidRPr="002A3568" w:rsidRDefault="00165DD1" w:rsidP="0083032B">
            <w:pPr>
              <w:spacing w:after="0"/>
              <w:rPr>
                <w:rFonts w:ascii="Calibri" w:eastAsia="Calibri" w:hAnsi="Calibri" w:cs="Calibri"/>
                <w:b/>
                <w:sz w:val="18"/>
                <w:szCs w:val="18"/>
                <w:lang w:val="en-GB"/>
              </w:rPr>
            </w:pPr>
          </w:p>
          <w:p w14:paraId="5FE04BF3" w14:textId="77777777" w:rsidR="00165DD1" w:rsidRPr="002A3568" w:rsidRDefault="00165DD1" w:rsidP="0083032B">
            <w:pPr>
              <w:spacing w:after="0"/>
              <w:rPr>
                <w:rFonts w:ascii="Calibri" w:eastAsia="Calibri" w:hAnsi="Calibri" w:cs="Calibri"/>
                <w:b/>
                <w:sz w:val="18"/>
                <w:szCs w:val="18"/>
                <w:lang w:val="en-GB"/>
              </w:rPr>
            </w:pPr>
            <w:r w:rsidRPr="0012568D">
              <w:rPr>
                <w:rFonts w:eastAsia="Calibri" w:cs="Calibri Light"/>
                <w:b/>
                <w:sz w:val="18"/>
                <w:szCs w:val="18"/>
                <w:lang w:val="mk-MK"/>
              </w:rPr>
              <w:t>Референтен број</w:t>
            </w:r>
            <w:r w:rsidRPr="002A3568">
              <w:rPr>
                <w:rFonts w:ascii="Calibri" w:eastAsia="Calibri" w:hAnsi="Calibri" w:cs="Calibri"/>
                <w:b/>
                <w:sz w:val="18"/>
                <w:szCs w:val="18"/>
                <w:lang w:val="en-GB"/>
              </w:rPr>
              <w:t>: ______________________________</w:t>
            </w:r>
          </w:p>
          <w:p w14:paraId="3ACE8B36" w14:textId="77777777" w:rsidR="00165DD1" w:rsidRPr="002A3568" w:rsidRDefault="00165DD1" w:rsidP="0083032B">
            <w:pPr>
              <w:shd w:val="clear" w:color="auto" w:fill="E2EFD9" w:themeFill="accent6" w:themeFillTint="33"/>
              <w:spacing w:after="0"/>
              <w:jc w:val="center"/>
              <w:rPr>
                <w:rFonts w:ascii="Calibri" w:eastAsia="Calibri" w:hAnsi="Calibri" w:cs="Calibri"/>
                <w:b/>
                <w:sz w:val="18"/>
                <w:szCs w:val="18"/>
                <w:lang w:val="en-GB"/>
              </w:rPr>
            </w:pPr>
            <w:r w:rsidRPr="002A3568">
              <w:rPr>
                <w:rFonts w:ascii="Calibri" w:eastAsia="Calibri" w:hAnsi="Calibri" w:cs="Calibri"/>
                <w:sz w:val="18"/>
                <w:szCs w:val="18"/>
                <w:lang w:val="en-GB"/>
              </w:rPr>
              <w:t>(</w:t>
            </w:r>
            <w:r w:rsidRPr="0012568D">
              <w:rPr>
                <w:rFonts w:eastAsia="Calibri" w:cs="Calibri Light"/>
                <w:b/>
                <w:sz w:val="18"/>
                <w:szCs w:val="18"/>
                <w:lang w:val="mk-MK"/>
              </w:rPr>
              <w:t>пополнето од страна одговорните лица за спроведување на проектот</w:t>
            </w:r>
            <w:r w:rsidRPr="002A3568">
              <w:rPr>
                <w:rFonts w:ascii="Calibri" w:eastAsia="Calibri" w:hAnsi="Calibri" w:cs="Calibri"/>
                <w:sz w:val="18"/>
                <w:szCs w:val="18"/>
                <w:lang w:val="en-GB"/>
              </w:rPr>
              <w:t>)</w:t>
            </w:r>
          </w:p>
        </w:tc>
      </w:tr>
    </w:tbl>
    <w:p w14:paraId="4E797E05" w14:textId="059F0916" w:rsidR="007D4AE8" w:rsidRDefault="007D4AE8">
      <w:pPr>
        <w:rPr>
          <w:rFonts w:cstheme="minorHAnsi"/>
          <w:sz w:val="20"/>
          <w:szCs w:val="20"/>
          <w:lang w:val="mk-MK"/>
        </w:rPr>
      </w:pPr>
    </w:p>
    <w:sectPr w:rsidR="007D4AE8">
      <w:pgSz w:w="11907"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7F9A"/>
    <w:multiLevelType w:val="multilevel"/>
    <w:tmpl w:val="348B7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3420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17"/>
    <w:rsid w:val="00147755"/>
    <w:rsid w:val="00165DD1"/>
    <w:rsid w:val="00196300"/>
    <w:rsid w:val="001C52FA"/>
    <w:rsid w:val="00420BC4"/>
    <w:rsid w:val="00456BAF"/>
    <w:rsid w:val="004E39BF"/>
    <w:rsid w:val="00535473"/>
    <w:rsid w:val="005761D8"/>
    <w:rsid w:val="005C4AAF"/>
    <w:rsid w:val="006072FB"/>
    <w:rsid w:val="007675B0"/>
    <w:rsid w:val="007D4AE8"/>
    <w:rsid w:val="007E4945"/>
    <w:rsid w:val="009E76C9"/>
    <w:rsid w:val="00A00EA7"/>
    <w:rsid w:val="00B43B3D"/>
    <w:rsid w:val="00C1490E"/>
    <w:rsid w:val="00CC5C17"/>
    <w:rsid w:val="00D06150"/>
    <w:rsid w:val="00D62D15"/>
    <w:rsid w:val="00EC31BF"/>
    <w:rsid w:val="00F6384E"/>
    <w:rsid w:val="00F929FC"/>
    <w:rsid w:val="5EDF31A3"/>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EACB"/>
  <w15:docId w15:val="{CDE8BE2B-878E-40AB-8894-794A2853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n-US"/>
    </w:rPr>
  </w:style>
  <w:style w:type="character" w:customStyle="1" w:styleId="tlid-translation">
    <w:name w:val="tlid-translation"/>
    <w:basedOn w:val="DefaultParagraphFont"/>
  </w:style>
  <w:style w:type="character" w:customStyle="1" w:styleId="HTMLPreformattedChar">
    <w:name w:val="HTML Preformatted Char"/>
    <w:basedOn w:val="DefaultParagraphFont"/>
    <w:link w:val="HTMLPreformatted"/>
    <w:uiPriority w:val="99"/>
    <w:rsid w:val="006072FB"/>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D06150"/>
    <w:rPr>
      <w:color w:val="605E5C"/>
      <w:shd w:val="clear" w:color="auto" w:fill="E1DFDD"/>
    </w:rPr>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165DD1"/>
    <w:pPr>
      <w:ind w:left="720"/>
      <w:contextualSpacing/>
    </w:p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locked/>
    <w:rsid w:val="00165DD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tc.gov.mk/" TargetMode="External"/><Relationship Id="rId3" Type="http://schemas.openxmlformats.org/officeDocument/2006/relationships/numbering" Target="numbering.xml"/><Relationship Id="rId7" Type="http://schemas.openxmlformats.org/officeDocument/2006/relationships/hyperlink" Target="http://gostivari.gov.mk/mk/pocetna/"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ska.bogdanova.ajceva.piu@mtc.gov.mk" TargetMode="External"/><Relationship Id="rId4" Type="http://schemas.openxmlformats.org/officeDocument/2006/relationships/styles" Target="styles.xml"/><Relationship Id="rId9" Type="http://schemas.openxmlformats.org/officeDocument/2006/relationships/hyperlink" Target="http://www.wbprojects-mtc.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C922E6B-47A8-4756-B480-94B6ADFB90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Velkovski</dc:creator>
  <cp:lastModifiedBy>Sash Bogdan </cp:lastModifiedBy>
  <cp:revision>12</cp:revision>
  <dcterms:created xsi:type="dcterms:W3CDTF">2021-02-27T18:31:00Z</dcterms:created>
  <dcterms:modified xsi:type="dcterms:W3CDTF">2022-10-12T09:56:00Z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